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6"/>
          <w:szCs w:val="26"/>
          <w:b w:val="1"/>
          <w:bCs w:val="1"/>
          <w:color w:val="auto"/>
        </w:rPr>
        <w:drawing>
          <wp:anchor simplePos="0" relativeHeight="251657728" behindDoc="1" locked="0" layoutInCell="0" allowOverlap="1">
            <wp:simplePos x="0" y="0"/>
            <wp:positionH relativeFrom="page">
              <wp:posOffset>1319530</wp:posOffset>
            </wp:positionH>
            <wp:positionV relativeFrom="page">
              <wp:posOffset>641350</wp:posOffset>
            </wp:positionV>
            <wp:extent cx="490982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09820" cy="6985"/>
                    </a:xfrm>
                    <a:prstGeom prst="rect">
                      <a:avLst/>
                    </a:prstGeom>
                    <a:noFill/>
                  </pic:spPr>
                </pic:pic>
              </a:graphicData>
            </a:graphic>
          </wp:anchor>
        </w:drawing>
        <w:drawing>
          <wp:anchor simplePos="0" relativeHeight="251657728" behindDoc="1" locked="0" layoutInCell="0" allowOverlap="1">
            <wp:simplePos x="0" y="0"/>
            <wp:positionH relativeFrom="page">
              <wp:posOffset>1319530</wp:posOffset>
            </wp:positionH>
            <wp:positionV relativeFrom="page">
              <wp:posOffset>654685</wp:posOffset>
            </wp:positionV>
            <wp:extent cx="490982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09820" cy="6985"/>
                    </a:xfrm>
                    <a:prstGeom prst="rect">
                      <a:avLst/>
                    </a:prstGeom>
                    <a:noFill/>
                  </pic:spPr>
                </pic:pic>
              </a:graphicData>
            </a:graphic>
          </wp:anchor>
        </w:drawing>
        <w:t>UNITED STATES</w:t>
      </w:r>
    </w:p>
    <w:p>
      <w:pPr>
        <w:spacing w:after="0" w:line="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6"/>
          <w:szCs w:val="26"/>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2369185</wp:posOffset>
            </wp:positionH>
            <wp:positionV relativeFrom="paragraph">
              <wp:posOffset>61595</wp:posOffset>
            </wp:positionV>
            <wp:extent cx="98171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81710" cy="6985"/>
                    </a:xfrm>
                    <a:prstGeom prst="rect">
                      <a:avLst/>
                    </a:prstGeom>
                    <a:noFill/>
                  </pic:spPr>
                </pic:pic>
              </a:graphicData>
            </a:graphic>
          </wp:anchor>
        </w:drawing>
      </w:r>
    </w:p>
    <w:p>
      <w:pPr>
        <w:spacing w:after="0" w:line="1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6"/>
          <w:szCs w:val="26"/>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2369185</wp:posOffset>
            </wp:positionH>
            <wp:positionV relativeFrom="paragraph">
              <wp:posOffset>80010</wp:posOffset>
            </wp:positionV>
            <wp:extent cx="98171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81710" cy="6985"/>
                    </a:xfrm>
                    <a:prstGeom prst="rect">
                      <a:avLst/>
                    </a:prstGeom>
                    <a:noFill/>
                  </pic:spPr>
                </pic:pic>
              </a:graphicData>
            </a:graphic>
          </wp:anchor>
        </w:drawing>
      </w:r>
    </w:p>
    <w:p>
      <w:pPr>
        <w:spacing w:after="0" w:line="172"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1"/>
          <w:szCs w:val="11"/>
          <w:b w:val="1"/>
          <w:bCs w:val="1"/>
          <w:color w:val="auto"/>
        </w:rPr>
        <w:t>(Mark One)</w:t>
      </w:r>
    </w:p>
    <w:p>
      <w:pPr>
        <w:spacing w:after="0" w:line="7" w:lineRule="exact"/>
        <w:rPr>
          <w:sz w:val="24"/>
          <w:szCs w:val="24"/>
          <w:color w:val="auto"/>
        </w:rPr>
      </w:pPr>
    </w:p>
    <w:p>
      <w:pPr>
        <w:jc w:val="center"/>
        <w:ind w:left="2940" w:right="759" w:hanging="2292"/>
        <w:spacing w:after="0" w:line="374" w:lineRule="auto"/>
        <w:tabs>
          <w:tab w:leader="none" w:pos="962" w:val="left"/>
        </w:tabs>
        <w:numPr>
          <w:ilvl w:val="0"/>
          <w:numId w:val="1"/>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QUARTERLY REPORT PURSUANT TO SECTION 13 OR 15(d) OF THE SECURITIES EXCHANGE ACT OF 1934 For the quarterly period ended September 30, 2026</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97" w:lineRule="exact"/>
        <w:rPr>
          <w:sz w:val="24"/>
          <w:szCs w:val="24"/>
          <w:color w:val="auto"/>
        </w:rPr>
      </w:pPr>
    </w:p>
    <w:p>
      <w:pPr>
        <w:ind w:left="960" w:hanging="312"/>
        <w:spacing w:after="0"/>
        <w:tabs>
          <w:tab w:leader="none" w:pos="960" w:val="left"/>
        </w:tabs>
        <w:numPr>
          <w:ilvl w:val="0"/>
          <w:numId w:val="2"/>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75" w:lineRule="exact"/>
        <w:rPr>
          <w:sz w:val="24"/>
          <w:szCs w:val="24"/>
          <w:color w:val="auto"/>
        </w:rPr>
      </w:pPr>
    </w:p>
    <w:p>
      <w:pPr>
        <w:ind w:left="2960"/>
        <w:spacing w:after="0"/>
        <w:tabs>
          <w:tab w:leader="none" w:pos="5900" w:val="left"/>
        </w:tabs>
        <w:rPr>
          <w:sz w:val="20"/>
          <w:szCs w:val="20"/>
          <w:color w:val="auto"/>
        </w:rPr>
      </w:pPr>
      <w:r>
        <w:rPr>
          <w:rFonts w:ascii="Times New Roman" w:cs="Times New Roman" w:eastAsia="Times New Roman" w:hAnsi="Times New Roman"/>
          <w:sz w:val="14"/>
          <w:szCs w:val="14"/>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8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Commission File Number: 001-41938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2369185</wp:posOffset>
            </wp:positionH>
            <wp:positionV relativeFrom="paragraph">
              <wp:posOffset>78740</wp:posOffset>
            </wp:positionV>
            <wp:extent cx="98171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81710" cy="6985"/>
                    </a:xfrm>
                    <a:prstGeom prst="rect">
                      <a:avLst/>
                    </a:prstGeom>
                    <a:noFill/>
                  </pic:spPr>
                </pic:pic>
              </a:graphicData>
            </a:graphic>
          </wp:anchor>
        </w:drawing>
      </w:r>
    </w:p>
    <w:p>
      <w:pPr>
        <w:spacing w:after="0" w:line="1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4"/>
          <w:szCs w:val="34"/>
          <w:b w:val="1"/>
          <w:bCs w:val="1"/>
          <w:color w:val="auto"/>
        </w:rPr>
        <w:t>BrightSpring Health Services, Inc.</w:t>
      </w:r>
    </w:p>
    <w:p>
      <w:pPr>
        <w:spacing w:after="0" w:line="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2369185</wp:posOffset>
            </wp:positionH>
            <wp:positionV relativeFrom="paragraph">
              <wp:posOffset>67310</wp:posOffset>
            </wp:positionV>
            <wp:extent cx="98171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81710" cy="6985"/>
                    </a:xfrm>
                    <a:prstGeom prst="rect">
                      <a:avLst/>
                    </a:prstGeom>
                    <a:noFill/>
                  </pic:spPr>
                </pic:pic>
              </a:graphicData>
            </a:graphic>
          </wp:anchor>
        </w:drawing>
      </w:r>
    </w:p>
    <w:p>
      <w:pPr>
        <w:spacing w:after="0" w:line="177" w:lineRule="exact"/>
        <w:rPr>
          <w:sz w:val="24"/>
          <w:szCs w:val="24"/>
          <w:color w:val="auto"/>
        </w:rPr>
      </w:pPr>
    </w:p>
    <w:tbl>
      <w:tblPr>
        <w:tblLayout w:type="fixed"/>
        <w:tblInd w:w="2280" w:type="dxa"/>
        <w:tblCellMar>
          <w:top w:w="0" w:type="dxa"/>
          <w:left w:w="0" w:type="dxa"/>
          <w:bottom w:w="0" w:type="dxa"/>
          <w:right w:w="0" w:type="dxa"/>
        </w:tblCellMar>
      </w:tblPr>
      <w:tr>
        <w:trPr>
          <w:trHeight w:val="185"/>
        </w:trPr>
        <w:tc>
          <w:tcPr>
            <w:tcW w:w="2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2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82-2956404</w:t>
            </w:r>
          </w:p>
        </w:tc>
      </w:tr>
    </w:tbl>
    <w:p>
      <w:pPr>
        <w:spacing w:after="0" w:line="1" w:lineRule="exact"/>
        <w:rPr>
          <w:sz w:val="24"/>
          <w:szCs w:val="24"/>
          <w:color w:val="auto"/>
        </w:rPr>
      </w:pPr>
    </w:p>
    <w:p>
      <w:pPr>
        <w:sectPr>
          <w:pgSz w:w="11900" w:h="16838" w:orient="portrait"/>
          <w:cols w:equalWidth="0" w:num="1">
            <w:col w:w="9019"/>
          </w:cols>
          <w:pgMar w:left="1440" w:top="1132" w:right="1440" w:bottom="1440" w:gutter="0" w:footer="0" w:header="0"/>
        </w:sectPr>
      </w:pPr>
    </w:p>
    <w:p>
      <w:pPr>
        <w:ind w:left="1940"/>
        <w:spacing w:after="0" w:line="224" w:lineRule="auto"/>
        <w:rPr>
          <w:sz w:val="20"/>
          <w:szCs w:val="20"/>
          <w:color w:val="auto"/>
        </w:rPr>
      </w:pPr>
      <w:r>
        <w:rPr>
          <w:rFonts w:ascii="Times New Roman" w:cs="Times New Roman" w:eastAsia="Times New Roman" w:hAnsi="Times New Roman"/>
          <w:sz w:val="10"/>
          <w:szCs w:val="10"/>
          <w:b w:val="1"/>
          <w:bCs w:val="1"/>
          <w:color w:val="auto"/>
        </w:rPr>
        <w:t>(State or other jurisdiction of</w:t>
      </w:r>
    </w:p>
    <w:p>
      <w:pPr>
        <w:ind w:left="1920"/>
        <w:spacing w:after="0"/>
        <w:rPr>
          <w:sz w:val="20"/>
          <w:szCs w:val="20"/>
          <w:color w:val="auto"/>
        </w:rPr>
      </w:pPr>
      <w:r>
        <w:rPr>
          <w:rFonts w:ascii="Times New Roman" w:cs="Times New Roman" w:eastAsia="Times New Roman" w:hAnsi="Times New Roman"/>
          <w:sz w:val="10"/>
          <w:szCs w:val="10"/>
          <w:b w:val="1"/>
          <w:bCs w:val="1"/>
          <w:color w:val="auto"/>
        </w:rPr>
        <w:t>incorporation or organization)</w:t>
      </w:r>
    </w:p>
    <w:p>
      <w:pPr>
        <w:spacing w:after="0" w:line="4" w:lineRule="exact"/>
        <w:rPr>
          <w:sz w:val="24"/>
          <w:szCs w:val="24"/>
          <w:color w:val="auto"/>
        </w:rPr>
      </w:pPr>
    </w:p>
    <w:p>
      <w:pPr>
        <w:ind w:left="1680"/>
        <w:spacing w:after="0"/>
        <w:rPr>
          <w:sz w:val="20"/>
          <w:szCs w:val="20"/>
          <w:color w:val="auto"/>
        </w:rPr>
      </w:pPr>
      <w:r>
        <w:rPr>
          <w:rFonts w:ascii="Times New Roman" w:cs="Times New Roman" w:eastAsia="Times New Roman" w:hAnsi="Times New Roman"/>
          <w:sz w:val="14"/>
          <w:szCs w:val="14"/>
          <w:b w:val="1"/>
          <w:bCs w:val="1"/>
          <w:color w:val="auto"/>
        </w:rPr>
        <w:t>805 N. Whittington Parkway</w:t>
      </w:r>
    </w:p>
    <w:p>
      <w:pPr>
        <w:spacing w:after="0" w:line="12" w:lineRule="exact"/>
        <w:rPr>
          <w:sz w:val="24"/>
          <w:szCs w:val="24"/>
          <w:color w:val="auto"/>
        </w:rPr>
      </w:pPr>
    </w:p>
    <w:p>
      <w:pPr>
        <w:ind w:left="1940"/>
        <w:spacing w:after="0"/>
        <w:rPr>
          <w:sz w:val="20"/>
          <w:szCs w:val="20"/>
          <w:color w:val="auto"/>
        </w:rPr>
      </w:pPr>
      <w:r>
        <w:rPr>
          <w:rFonts w:ascii="Times New Roman" w:cs="Times New Roman" w:eastAsia="Times New Roman" w:hAnsi="Times New Roman"/>
          <w:sz w:val="14"/>
          <w:szCs w:val="14"/>
          <w:b w:val="1"/>
          <w:bCs w:val="1"/>
          <w:color w:val="auto"/>
        </w:rPr>
        <w:t>Louisville, Kentucky</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0"/>
          <w:szCs w:val="10"/>
          <w:b w:val="1"/>
          <w:bCs w:val="1"/>
          <w:color w:val="auto"/>
        </w:rPr>
        <w:t>(I.R.S. Employer</w:t>
      </w:r>
    </w:p>
    <w:p>
      <w:pPr>
        <w:spacing w:after="0" w:line="3" w:lineRule="exact"/>
        <w:rPr>
          <w:sz w:val="24"/>
          <w:szCs w:val="24"/>
          <w:color w:val="auto"/>
        </w:rPr>
      </w:pPr>
    </w:p>
    <w:p>
      <w:pPr>
        <w:spacing w:after="0"/>
        <w:rPr>
          <w:sz w:val="20"/>
          <w:szCs w:val="20"/>
          <w:color w:val="auto"/>
        </w:rPr>
      </w:pPr>
      <w:r>
        <w:rPr>
          <w:rFonts w:ascii="Times New Roman" w:cs="Times New Roman" w:eastAsia="Times New Roman" w:hAnsi="Times New Roman"/>
          <w:sz w:val="9"/>
          <w:szCs w:val="9"/>
          <w:b w:val="1"/>
          <w:bCs w:val="1"/>
          <w:color w:val="auto"/>
        </w:rPr>
        <w:t>Identification No.)</w:t>
      </w:r>
    </w:p>
    <w:p>
      <w:pPr>
        <w:spacing w:after="0" w:line="184" w:lineRule="exact"/>
        <w:rPr>
          <w:sz w:val="24"/>
          <w:szCs w:val="24"/>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40222</w:t>
      </w:r>
    </w:p>
    <w:p>
      <w:pPr>
        <w:spacing w:after="0" w:line="24" w:lineRule="exact"/>
        <w:rPr>
          <w:sz w:val="24"/>
          <w:szCs w:val="24"/>
          <w:color w:val="auto"/>
        </w:rPr>
      </w:pPr>
    </w:p>
    <w:p>
      <w:pPr>
        <w:sectPr>
          <w:pgSz w:w="11900" w:h="16838" w:orient="portrait"/>
          <w:cols w:equalWidth="0" w:num="2">
            <w:col w:w="5320" w:space="720"/>
            <w:col w:w="2979"/>
          </w:cols>
          <w:pgMar w:left="1440" w:top="1132" w:right="1440" w:bottom="1440" w:gutter="0" w:footer="0" w:header="0"/>
          <w:type w:val="continuous"/>
        </w:sectPr>
      </w:pPr>
    </w:p>
    <w:p>
      <w:pPr>
        <w:ind w:left="1740"/>
        <w:spacing w:after="0"/>
        <w:tabs>
          <w:tab w:leader="none" w:pos="6180" w:val="left"/>
        </w:tabs>
        <w:rPr>
          <w:sz w:val="20"/>
          <w:szCs w:val="20"/>
          <w:color w:val="auto"/>
        </w:rPr>
      </w:pPr>
      <w:r>
        <w:rPr>
          <w:rFonts w:ascii="Times New Roman" w:cs="Times New Roman" w:eastAsia="Times New Roman" w:hAnsi="Times New Roman"/>
          <w:sz w:val="10"/>
          <w:szCs w:val="10"/>
          <w:b w:val="1"/>
          <w:bCs w:val="1"/>
          <w:color w:val="auto"/>
        </w:rPr>
        <w:t>(Address of principal executive offices)</w:t>
      </w:r>
      <w:r>
        <w:rPr>
          <w:sz w:val="20"/>
          <w:szCs w:val="20"/>
          <w:color w:val="auto"/>
        </w:rPr>
        <w:tab/>
      </w:r>
      <w:r>
        <w:rPr>
          <w:rFonts w:ascii="Times New Roman" w:cs="Times New Roman" w:eastAsia="Times New Roman" w:hAnsi="Times New Roman"/>
          <w:sz w:val="9"/>
          <w:szCs w:val="9"/>
          <w:b w:val="1"/>
          <w:bCs w:val="1"/>
          <w:color w:val="auto"/>
        </w:rPr>
        <w:t>(Zip Code)</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(502) 394-2100</w:t>
      </w:r>
    </w:p>
    <w:p>
      <w:pPr>
        <w:spacing w:after="0" w:line="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 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2369185</wp:posOffset>
            </wp:positionH>
            <wp:positionV relativeFrom="paragraph">
              <wp:posOffset>78740</wp:posOffset>
            </wp:positionV>
            <wp:extent cx="98171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81710" cy="6985"/>
                    </a:xfrm>
                    <a:prstGeom prst="rect">
                      <a:avLst/>
                    </a:prstGeom>
                    <a:noFill/>
                  </pic:spPr>
                </pic:pic>
              </a:graphicData>
            </a:graphic>
          </wp:anchor>
        </w:drawing>
      </w:r>
    </w:p>
    <w:p>
      <w:pPr>
        <w:spacing w:after="0" w:line="147" w:lineRule="exact"/>
        <w:rPr>
          <w:sz w:val="24"/>
          <w:szCs w:val="24"/>
          <w:color w:val="auto"/>
        </w:rPr>
      </w:pPr>
    </w:p>
    <w:p>
      <w:pPr>
        <w:ind w:left="1060"/>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p>
      <w:pPr>
        <w:spacing w:after="0" w:line="59" w:lineRule="exact"/>
        <w:rPr>
          <w:sz w:val="24"/>
          <w:szCs w:val="24"/>
          <w:color w:val="auto"/>
        </w:rPr>
      </w:pPr>
    </w:p>
    <w:tbl>
      <w:tblPr>
        <w:tblLayout w:type="fixed"/>
        <w:tblInd w:w="640" w:type="dxa"/>
        <w:tblCellMar>
          <w:top w:w="0" w:type="dxa"/>
          <w:left w:w="0" w:type="dxa"/>
          <w:bottom w:w="0" w:type="dxa"/>
          <w:right w:w="0" w:type="dxa"/>
        </w:tblCellMar>
      </w:tblPr>
      <w:tr>
        <w:trPr>
          <w:trHeight w:val="126"/>
        </w:trPr>
        <w:tc>
          <w:tcPr>
            <w:tcW w:w="29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Title of each class</w:t>
            </w:r>
          </w:p>
        </w:tc>
        <w:tc>
          <w:tcPr>
            <w:tcW w:w="80" w:type="dxa"/>
            <w:vAlign w:val="bottom"/>
          </w:tcPr>
          <w:p>
            <w:pPr>
              <w:spacing w:after="0"/>
              <w:rPr>
                <w:sz w:val="10"/>
                <w:szCs w:val="10"/>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Trading</w:t>
            </w:r>
          </w:p>
        </w:tc>
        <w:tc>
          <w:tcPr>
            <w:tcW w:w="80" w:type="dxa"/>
            <w:vAlign w:val="bottom"/>
          </w:tcPr>
          <w:p>
            <w:pPr>
              <w:spacing w:after="0"/>
              <w:rPr>
                <w:sz w:val="10"/>
                <w:szCs w:val="10"/>
                <w:color w:val="auto"/>
              </w:rPr>
            </w:pPr>
          </w:p>
        </w:tc>
        <w:tc>
          <w:tcPr>
            <w:tcW w:w="34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Name of each exchange on which registered</w:t>
            </w:r>
          </w:p>
        </w:tc>
        <w:tc>
          <w:tcPr>
            <w:tcW w:w="0" w:type="dxa"/>
            <w:vAlign w:val="bottom"/>
          </w:tcPr>
          <w:p>
            <w:pPr>
              <w:spacing w:after="0"/>
              <w:rPr>
                <w:sz w:val="1"/>
                <w:szCs w:val="1"/>
                <w:color w:val="auto"/>
              </w:rPr>
            </w:pPr>
          </w:p>
        </w:tc>
      </w:tr>
      <w:tr>
        <w:trPr>
          <w:trHeight w:val="137"/>
        </w:trPr>
        <w:tc>
          <w:tcPr>
            <w:tcW w:w="2940" w:type="dxa"/>
            <w:vAlign w:val="bottom"/>
            <w:tcBorders>
              <w:bottom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Symbol(s)</w:t>
            </w:r>
          </w:p>
        </w:tc>
        <w:tc>
          <w:tcPr>
            <w:tcW w:w="80" w:type="dxa"/>
            <w:vAlign w:val="bottom"/>
          </w:tcPr>
          <w:p>
            <w:pPr>
              <w:spacing w:after="0"/>
              <w:rPr>
                <w:sz w:val="11"/>
                <w:szCs w:val="11"/>
                <w:color w:val="auto"/>
              </w:rPr>
            </w:pPr>
          </w:p>
        </w:tc>
        <w:tc>
          <w:tcPr>
            <w:tcW w:w="348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94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auto"/>
                <w:w w:val="99"/>
              </w:rPr>
              <w:t>Common Stock, par value $0.01 per share</w:t>
            </w:r>
          </w:p>
        </w:tc>
        <w:tc>
          <w:tcPr>
            <w:tcW w:w="80" w:type="dxa"/>
            <w:vAlign w:val="bottom"/>
          </w:tcPr>
          <w:p>
            <w:pPr>
              <w:spacing w:after="0"/>
              <w:rPr>
                <w:sz w:val="12"/>
                <w:szCs w:val="12"/>
                <w:color w:val="auto"/>
              </w:rPr>
            </w:pPr>
          </w:p>
        </w:tc>
        <w:tc>
          <w:tcPr>
            <w:tcW w:w="116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auto"/>
                <w:w w:val="96"/>
              </w:rPr>
              <w:t>BTSG</w:t>
            </w:r>
          </w:p>
        </w:tc>
        <w:tc>
          <w:tcPr>
            <w:tcW w:w="80" w:type="dxa"/>
            <w:vAlign w:val="bottom"/>
          </w:tcPr>
          <w:p>
            <w:pPr>
              <w:spacing w:after="0"/>
              <w:rPr>
                <w:sz w:val="12"/>
                <w:szCs w:val="12"/>
                <w:color w:val="auto"/>
              </w:rPr>
            </w:pPr>
          </w:p>
        </w:tc>
        <w:tc>
          <w:tcPr>
            <w:tcW w:w="348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auto"/>
                <w:w w:val="98"/>
              </w:rPr>
              <w:t>The Nasdaq Stock Market LLC</w:t>
            </w:r>
          </w:p>
        </w:tc>
        <w:tc>
          <w:tcPr>
            <w:tcW w:w="0" w:type="dxa"/>
            <w:vAlign w:val="bottom"/>
          </w:tcPr>
          <w:p>
            <w:pPr>
              <w:spacing w:after="0"/>
              <w:rPr>
                <w:sz w:val="1"/>
                <w:szCs w:val="1"/>
                <w:color w:val="auto"/>
              </w:rPr>
            </w:pPr>
          </w:p>
        </w:tc>
      </w:tr>
      <w:tr>
        <w:trPr>
          <w:trHeight w:val="167"/>
        </w:trPr>
        <w:tc>
          <w:tcPr>
            <w:tcW w:w="29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6.75% Tangible Equity Units</w:t>
            </w:r>
          </w:p>
        </w:tc>
        <w:tc>
          <w:tcPr>
            <w:tcW w:w="8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BTSGU</w:t>
            </w:r>
          </w:p>
        </w:tc>
        <w:tc>
          <w:tcPr>
            <w:tcW w:w="80" w:type="dxa"/>
            <w:vAlign w:val="bottom"/>
          </w:tcPr>
          <w:p>
            <w:pPr>
              <w:spacing w:after="0"/>
              <w:rPr>
                <w:sz w:val="14"/>
                <w:szCs w:val="14"/>
                <w:color w:val="auto"/>
              </w:rPr>
            </w:pPr>
          </w:p>
        </w:tc>
        <w:tc>
          <w:tcPr>
            <w:tcW w:w="34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The Nasdaq Stock Market LLC</w:t>
            </w:r>
          </w:p>
        </w:tc>
        <w:tc>
          <w:tcPr>
            <w:tcW w:w="0" w:type="dxa"/>
            <w:vAlign w:val="bottom"/>
          </w:tcPr>
          <w:p>
            <w:pPr>
              <w:spacing w:after="0"/>
              <w:rPr>
                <w:sz w:val="1"/>
                <w:szCs w:val="1"/>
                <w:color w:val="auto"/>
              </w:rPr>
            </w:pPr>
          </w:p>
        </w:tc>
      </w:tr>
    </w:tbl>
    <w:p>
      <w:pPr>
        <w:spacing w:after="0" w:line="59" w:lineRule="exact"/>
        <w:rPr>
          <w:sz w:val="24"/>
          <w:szCs w:val="24"/>
          <w:color w:val="auto"/>
        </w:rPr>
      </w:pPr>
    </w:p>
    <w:p>
      <w:pPr>
        <w:ind w:left="640" w:right="699"/>
        <w:spacing w:after="0" w:line="17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8" w:lineRule="exact"/>
        <w:rPr>
          <w:sz w:val="24"/>
          <w:szCs w:val="24"/>
          <w:color w:val="auto"/>
        </w:rPr>
      </w:pPr>
    </w:p>
    <w:p>
      <w:pPr>
        <w:ind w:left="640" w:right="739"/>
        <w:spacing w:after="0" w:line="17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8" w:lineRule="exact"/>
        <w:rPr>
          <w:sz w:val="24"/>
          <w:szCs w:val="24"/>
          <w:color w:val="auto"/>
        </w:rPr>
      </w:pPr>
    </w:p>
    <w:p>
      <w:pPr>
        <w:ind w:left="640" w:right="679"/>
        <w:spacing w:after="0" w:line="272"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 w:lineRule="exact"/>
        <w:rPr>
          <w:sz w:val="24"/>
          <w:szCs w:val="24"/>
          <w:color w:val="auto"/>
        </w:rPr>
      </w:pPr>
    </w:p>
    <w:tbl>
      <w:tblPr>
        <w:tblLayout w:type="fixed"/>
        <w:tblInd w:w="640" w:type="dxa"/>
        <w:tblCellMar>
          <w:top w:w="0" w:type="dxa"/>
          <w:left w:w="0" w:type="dxa"/>
          <w:bottom w:w="0" w:type="dxa"/>
          <w:right w:w="0" w:type="dxa"/>
        </w:tblCellMar>
      </w:tblPr>
      <w:tr>
        <w:trPr>
          <w:trHeight w:val="161"/>
        </w:trPr>
        <w:tc>
          <w:tcPr>
            <w:tcW w:w="148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2320" w:type="dxa"/>
            <w:vAlign w:val="bottom"/>
          </w:tcPr>
          <w:p>
            <w:pPr>
              <w:ind w:left="60"/>
              <w:spacing w:after="0" w:line="131" w:lineRule="exact"/>
              <w:rPr>
                <w:sz w:val="20"/>
                <w:szCs w:val="20"/>
                <w:color w:val="auto"/>
              </w:rPr>
            </w:pPr>
            <w:r>
              <w:rPr>
                <w:rFonts w:ascii="MS PGothic" w:cs="MS PGothic" w:eastAsia="MS PGothic" w:hAnsi="MS PGothic"/>
                <w:sz w:val="13"/>
                <w:szCs w:val="13"/>
                <w:color w:val="auto"/>
              </w:rPr>
              <w:t>☒</w:t>
            </w:r>
          </w:p>
        </w:tc>
        <w:tc>
          <w:tcPr>
            <w:tcW w:w="3660" w:type="dxa"/>
            <w:vAlign w:val="bottom"/>
          </w:tcPr>
          <w:p>
            <w:pPr>
              <w:ind w:left="2140"/>
              <w:spacing w:after="0"/>
              <w:rPr>
                <w:sz w:val="20"/>
                <w:szCs w:val="20"/>
                <w:color w:val="auto"/>
              </w:rPr>
            </w:pPr>
            <w:r>
              <w:rPr>
                <w:rFonts w:ascii="Times New Roman" w:cs="Times New Roman" w:eastAsia="Times New Roman" w:hAnsi="Times New Roman"/>
                <w:sz w:val="13"/>
                <w:szCs w:val="13"/>
                <w:color w:val="auto"/>
              </w:rPr>
              <w:t>Accelerated filer</w:t>
            </w:r>
          </w:p>
        </w:tc>
        <w:tc>
          <w:tcPr>
            <w:tcW w:w="220" w:type="dxa"/>
            <w:vAlign w:val="bottom"/>
          </w:tcPr>
          <w:p>
            <w:pPr>
              <w:ind w:left="1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61"/>
        </w:trPr>
        <w:tc>
          <w:tcPr>
            <w:tcW w:w="148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2320" w:type="dxa"/>
            <w:vAlign w:val="bottom"/>
          </w:tcPr>
          <w:p>
            <w:pPr>
              <w:ind w:left="60"/>
              <w:spacing w:after="0" w:line="131" w:lineRule="exact"/>
              <w:rPr>
                <w:sz w:val="20"/>
                <w:szCs w:val="20"/>
                <w:color w:val="auto"/>
              </w:rPr>
            </w:pPr>
            <w:r>
              <w:rPr>
                <w:rFonts w:ascii="MS PGothic" w:cs="MS PGothic" w:eastAsia="MS PGothic" w:hAnsi="MS PGothic"/>
                <w:sz w:val="13"/>
                <w:szCs w:val="13"/>
                <w:color w:val="auto"/>
              </w:rPr>
              <w:t>☐</w:t>
            </w:r>
          </w:p>
        </w:tc>
        <w:tc>
          <w:tcPr>
            <w:tcW w:w="3660" w:type="dxa"/>
            <w:vAlign w:val="bottom"/>
          </w:tcPr>
          <w:p>
            <w:pPr>
              <w:ind w:left="214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220" w:type="dxa"/>
            <w:vAlign w:val="bottom"/>
          </w:tcPr>
          <w:p>
            <w:pPr>
              <w:ind w:left="1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3"/>
                <w:szCs w:val="13"/>
                <w:color w:val="auto"/>
              </w:rPr>
              <w:t>Emerging growth company</w:t>
            </w:r>
          </w:p>
        </w:tc>
        <w:tc>
          <w:tcPr>
            <w:tcW w:w="2320" w:type="dxa"/>
            <w:vAlign w:val="bottom"/>
          </w:tcPr>
          <w:p>
            <w:pPr>
              <w:ind w:left="60"/>
              <w:spacing w:after="0" w:line="131" w:lineRule="exact"/>
              <w:rPr>
                <w:sz w:val="20"/>
                <w:szCs w:val="20"/>
                <w:color w:val="auto"/>
              </w:rPr>
            </w:pPr>
            <w:r>
              <w:rPr>
                <w:rFonts w:ascii="MS PGothic" w:cs="MS PGothic" w:eastAsia="MS PGothic" w:hAnsi="MS PGothic"/>
                <w:sz w:val="13"/>
                <w:szCs w:val="13"/>
                <w:color w:val="auto"/>
              </w:rPr>
              <w:t>☐</w:t>
            </w:r>
          </w:p>
        </w:tc>
        <w:tc>
          <w:tcPr>
            <w:tcW w:w="3660" w:type="dxa"/>
            <w:vAlign w:val="bottom"/>
          </w:tcPr>
          <w:p>
            <w:pPr>
              <w:spacing w:after="0"/>
              <w:rPr>
                <w:sz w:val="18"/>
                <w:szCs w:val="18"/>
                <w:color w:val="auto"/>
              </w:rPr>
            </w:pPr>
          </w:p>
        </w:tc>
        <w:tc>
          <w:tcPr>
            <w:tcW w:w="220" w:type="dxa"/>
            <w:vAlign w:val="bottom"/>
          </w:tcPr>
          <w:p>
            <w:pPr>
              <w:spacing w:after="0"/>
              <w:rPr>
                <w:sz w:val="18"/>
                <w:szCs w:val="18"/>
                <w:color w:val="auto"/>
              </w:rPr>
            </w:pPr>
          </w:p>
        </w:tc>
      </w:tr>
    </w:tbl>
    <w:p>
      <w:pPr>
        <w:spacing w:after="0" w:line="39" w:lineRule="exact"/>
        <w:rPr>
          <w:sz w:val="24"/>
          <w:szCs w:val="24"/>
          <w:color w:val="auto"/>
        </w:rPr>
      </w:pPr>
    </w:p>
    <w:p>
      <w:pPr>
        <w:jc w:val="both"/>
        <w:ind w:left="640" w:right="699"/>
        <w:spacing w:after="0" w:line="174"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ind w:left="640" w:right="1519"/>
        <w:spacing w:after="0" w:line="194"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The number of shares of Registrant’s Common Stock outstanding as of October 27, 2026 was 198,984,612.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58420</wp:posOffset>
            </wp:positionH>
            <wp:positionV relativeFrom="paragraph">
              <wp:posOffset>741045</wp:posOffset>
            </wp:positionV>
            <wp:extent cx="560387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405130</wp:posOffset>
            </wp:positionH>
            <wp:positionV relativeFrom="paragraph">
              <wp:posOffset>78740</wp:posOffset>
            </wp:positionV>
            <wp:extent cx="4909820"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09820" cy="6985"/>
                    </a:xfrm>
                    <a:prstGeom prst="rect">
                      <a:avLst/>
                    </a:prstGeom>
                    <a:noFill/>
                  </pic:spPr>
                </pic:pic>
              </a:graphicData>
            </a:graphic>
          </wp:anchor>
        </w:drawing>
        <w:drawing>
          <wp:anchor simplePos="0" relativeHeight="251657728" behindDoc="1" locked="0" layoutInCell="0" allowOverlap="1">
            <wp:simplePos x="0" y="0"/>
            <wp:positionH relativeFrom="column">
              <wp:posOffset>405130</wp:posOffset>
            </wp:positionH>
            <wp:positionV relativeFrom="paragraph">
              <wp:posOffset>92075</wp:posOffset>
            </wp:positionV>
            <wp:extent cx="4909820"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909820" cy="6985"/>
                    </a:xfrm>
                    <a:prstGeom prst="rect">
                      <a:avLst/>
                    </a:prstGeom>
                    <a:noFill/>
                  </pic:spPr>
                </pic:pic>
              </a:graphicData>
            </a:graphic>
          </wp:anchor>
        </w:drawing>
      </w:r>
    </w:p>
    <w:p>
      <w:pPr>
        <w:sectPr>
          <w:pgSz w:w="11900" w:h="16838" w:orient="portrait"/>
          <w:cols w:equalWidth="0" w:num="1">
            <w:col w:w="9019"/>
          </w:cols>
          <w:pgMar w:left="1440" w:top="1132" w:right="1440" w:bottom="1440"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180" w:lineRule="exact"/>
        <w:rPr>
          <w:sz w:val="20"/>
          <w:szCs w:val="20"/>
          <w:color w:val="auto"/>
        </w:rPr>
      </w:pPr>
    </w:p>
    <w:tbl>
      <w:tblPr>
        <w:tblLayout w:type="fixed"/>
        <w:tblInd w:w="650" w:type="dxa"/>
        <w:tblCellMar>
          <w:top w:w="0" w:type="dxa"/>
          <w:left w:w="0" w:type="dxa"/>
          <w:bottom w:w="0" w:type="dxa"/>
          <w:right w:w="0" w:type="dxa"/>
        </w:tblCellMar>
      </w:tblPr>
      <w:tr>
        <w:trPr>
          <w:trHeight w:val="137"/>
        </w:trPr>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5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1"/>
                <w:szCs w:val="11"/>
                <w:b w:val="1"/>
                <w:bCs w:val="1"/>
                <w:color w:val="auto"/>
              </w:rPr>
              <w:t>Page</w:t>
            </w:r>
          </w:p>
        </w:tc>
        <w:tc>
          <w:tcPr>
            <w:tcW w:w="0" w:type="dxa"/>
            <w:vAlign w:val="bottom"/>
          </w:tcPr>
          <w:p>
            <w:pPr>
              <w:spacing w:after="0"/>
              <w:rPr>
                <w:sz w:val="1"/>
                <w:szCs w:val="1"/>
                <w:color w:val="auto"/>
              </w:rPr>
            </w:pPr>
          </w:p>
        </w:tc>
      </w:tr>
      <w:tr>
        <w:trPr>
          <w:trHeight w:val="302"/>
        </w:trPr>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PART I.</w:t>
            </w:r>
          </w:p>
        </w:tc>
        <w:tc>
          <w:tcPr>
            <w:tcW w:w="6420" w:type="dxa"/>
            <w:vAlign w:val="bottom"/>
            <w:gridSpan w:val="15"/>
          </w:tcPr>
          <w:p>
            <w:pPr>
              <w:spacing w:after="0"/>
              <w:rPr>
                <w:sz w:val="20"/>
                <w:szCs w:val="20"/>
                <w:color w:val="auto"/>
              </w:rPr>
            </w:pPr>
            <w:r>
              <w:rPr>
                <w:rFonts w:ascii="Times New Roman" w:cs="Times New Roman" w:eastAsia="Times New Roman" w:hAnsi="Times New Roman"/>
                <w:sz w:val="14"/>
                <w:szCs w:val="14"/>
                <w:color w:val="0000FF"/>
              </w:rPr>
              <w:t>FINANCIAL INFORMATION</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4"/>
        </w:trPr>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1.</w:t>
            </w:r>
          </w:p>
        </w:tc>
        <w:tc>
          <w:tcPr>
            <w:tcW w:w="6420" w:type="dxa"/>
            <w:vAlign w:val="bottom"/>
            <w:gridSpan w:val="15"/>
          </w:tcPr>
          <w:p>
            <w:pPr>
              <w:spacing w:after="0"/>
              <w:rPr>
                <w:sz w:val="20"/>
                <w:szCs w:val="20"/>
                <w:color w:val="auto"/>
              </w:rPr>
            </w:pPr>
            <w:r>
              <w:rPr>
                <w:rFonts w:ascii="Times New Roman" w:cs="Times New Roman" w:eastAsia="Times New Roman" w:hAnsi="Times New Roman"/>
                <w:sz w:val="14"/>
                <w:szCs w:val="14"/>
                <w:color w:val="0000FF"/>
              </w:rPr>
              <w:t>Financial Statements (Unaudited)</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20" w:type="dxa"/>
            <w:vAlign w:val="bottom"/>
            <w:gridSpan w:val="15"/>
          </w:tcPr>
          <w:p>
            <w:pPr>
              <w:spacing w:after="0" w:line="152" w:lineRule="exact"/>
              <w:rPr>
                <w:sz w:val="20"/>
                <w:szCs w:val="20"/>
                <w:color w:val="auto"/>
              </w:rPr>
            </w:pPr>
            <w:r>
              <w:rPr>
                <w:rFonts w:ascii="Times New Roman" w:cs="Times New Roman" w:eastAsia="Times New Roman" w:hAnsi="Times New Roman"/>
                <w:sz w:val="14"/>
                <w:szCs w:val="14"/>
                <w:color w:val="0000FF"/>
              </w:rPr>
              <w:t>Condensed Consolidated Balance Sheets</w:t>
            </w:r>
          </w:p>
        </w:tc>
        <w:tc>
          <w:tcPr>
            <w:tcW w:w="54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20" w:type="dxa"/>
            <w:vAlign w:val="bottom"/>
            <w:gridSpan w:val="15"/>
          </w:tcPr>
          <w:p>
            <w:pPr>
              <w:spacing w:after="0" w:line="152" w:lineRule="exact"/>
              <w:rPr>
                <w:sz w:val="20"/>
                <w:szCs w:val="20"/>
                <w:color w:val="auto"/>
              </w:rPr>
            </w:pPr>
            <w:r>
              <w:rPr>
                <w:rFonts w:ascii="Times New Roman" w:cs="Times New Roman" w:eastAsia="Times New Roman" w:hAnsi="Times New Roman"/>
                <w:sz w:val="14"/>
                <w:szCs w:val="14"/>
                <w:color w:val="0000FF"/>
              </w:rPr>
              <w:t>Condensed Consolidated Statements of Operations</w:t>
            </w:r>
          </w:p>
        </w:tc>
        <w:tc>
          <w:tcPr>
            <w:tcW w:w="54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08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20" w:type="dxa"/>
            <w:vAlign w:val="bottom"/>
            <w:gridSpan w:val="15"/>
          </w:tcPr>
          <w:p>
            <w:pPr>
              <w:spacing w:after="0" w:line="152" w:lineRule="exact"/>
              <w:rPr>
                <w:sz w:val="20"/>
                <w:szCs w:val="20"/>
                <w:color w:val="auto"/>
              </w:rPr>
            </w:pPr>
            <w:r>
              <w:rPr>
                <w:rFonts w:ascii="Times New Roman" w:cs="Times New Roman" w:eastAsia="Times New Roman" w:hAnsi="Times New Roman"/>
                <w:sz w:val="14"/>
                <w:szCs w:val="14"/>
                <w:color w:val="0000FF"/>
              </w:rPr>
              <w:t>Condensed Consolidated Statements of Comprehensive Income</w:t>
            </w:r>
          </w:p>
        </w:tc>
        <w:tc>
          <w:tcPr>
            <w:tcW w:w="54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left w:val="single" w:sz="8" w:color="0000FF"/>
            </w:tcBorders>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12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20" w:type="dxa"/>
            <w:vAlign w:val="bottom"/>
            <w:gridSpan w:val="15"/>
          </w:tcPr>
          <w:p>
            <w:pPr>
              <w:spacing w:after="0" w:line="152" w:lineRule="exact"/>
              <w:rPr>
                <w:sz w:val="20"/>
                <w:szCs w:val="20"/>
                <w:color w:val="auto"/>
              </w:rPr>
            </w:pPr>
            <w:r>
              <w:rPr>
                <w:rFonts w:ascii="Times New Roman" w:cs="Times New Roman" w:eastAsia="Times New Roman" w:hAnsi="Times New Roman"/>
                <w:sz w:val="14"/>
                <w:szCs w:val="14"/>
                <w:color w:val="0000FF"/>
              </w:rPr>
              <w:t>Condensed Consolidated Statements of Shareholders’ Equity</w:t>
            </w:r>
          </w:p>
        </w:tc>
        <w:tc>
          <w:tcPr>
            <w:tcW w:w="54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12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80" w:type="dxa"/>
            <w:vAlign w:val="bottom"/>
            <w:tcBorders>
              <w:left w:val="single" w:sz="8" w:color="0000FF"/>
            </w:tcBorders>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20" w:type="dxa"/>
            <w:vAlign w:val="bottom"/>
            <w:gridSpan w:val="15"/>
          </w:tcPr>
          <w:p>
            <w:pPr>
              <w:spacing w:after="0" w:line="152" w:lineRule="exact"/>
              <w:rPr>
                <w:sz w:val="20"/>
                <w:szCs w:val="20"/>
                <w:color w:val="auto"/>
              </w:rPr>
            </w:pPr>
            <w:r>
              <w:rPr>
                <w:rFonts w:ascii="Times New Roman" w:cs="Times New Roman" w:eastAsia="Times New Roman" w:hAnsi="Times New Roman"/>
                <w:sz w:val="14"/>
                <w:szCs w:val="14"/>
                <w:color w:val="0000FF"/>
              </w:rPr>
              <w:t>Condensed Consolidated Statements of Cash Flows</w:t>
            </w:r>
          </w:p>
        </w:tc>
        <w:tc>
          <w:tcPr>
            <w:tcW w:w="54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120" w:type="dxa"/>
            <w:vAlign w:val="bottom"/>
            <w:tcBorders>
              <w:left w:val="single" w:sz="8" w:color="0000FF"/>
              <w:right w:val="single" w:sz="8" w:color="0000EE"/>
            </w:tcBorders>
            <w:gridSpan w:val="3"/>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20" w:type="dxa"/>
            <w:vAlign w:val="bottom"/>
            <w:gridSpan w:val="15"/>
          </w:tcPr>
          <w:p>
            <w:pPr>
              <w:spacing w:after="0" w:line="152" w:lineRule="exact"/>
              <w:rPr>
                <w:sz w:val="20"/>
                <w:szCs w:val="20"/>
                <w:color w:val="auto"/>
              </w:rPr>
            </w:pPr>
            <w:r>
              <w:rPr>
                <w:rFonts w:ascii="Times New Roman" w:cs="Times New Roman" w:eastAsia="Times New Roman" w:hAnsi="Times New Roman"/>
                <w:sz w:val="14"/>
                <w:szCs w:val="14"/>
                <w:color w:val="0000FF"/>
              </w:rPr>
              <w:t>Notes to Condensed Consolidated Financial Statements</w:t>
            </w:r>
          </w:p>
        </w:tc>
        <w:tc>
          <w:tcPr>
            <w:tcW w:w="54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340" w:type="dxa"/>
            <w:vAlign w:val="bottom"/>
            <w:tcBorders>
              <w:left w:val="single" w:sz="8" w:color="0000FF"/>
              <w:right w:val="single" w:sz="8" w:color="0000EE"/>
            </w:tcBorders>
            <w:gridSpan w:val="4"/>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780" w:type="dxa"/>
            <w:vAlign w:val="bottom"/>
            <w:gridSpan w:val="2"/>
          </w:tcPr>
          <w:p>
            <w:pPr>
              <w:spacing w:after="0" w:line="152" w:lineRule="exact"/>
              <w:rPr>
                <w:sz w:val="20"/>
                <w:szCs w:val="20"/>
                <w:color w:val="auto"/>
              </w:rPr>
            </w:pPr>
            <w:r>
              <w:rPr>
                <w:rFonts w:ascii="Times New Roman" w:cs="Times New Roman" w:eastAsia="Times New Roman" w:hAnsi="Times New Roman"/>
                <w:sz w:val="14"/>
                <w:szCs w:val="14"/>
                <w:color w:val="auto"/>
              </w:rPr>
              <w:t>Item 2.</w:t>
            </w:r>
          </w:p>
        </w:tc>
        <w:tc>
          <w:tcPr>
            <w:tcW w:w="6420" w:type="dxa"/>
            <w:vAlign w:val="bottom"/>
            <w:gridSpan w:val="15"/>
          </w:tcPr>
          <w:p>
            <w:pPr>
              <w:spacing w:after="0" w:line="152" w:lineRule="exact"/>
              <w:rPr>
                <w:sz w:val="20"/>
                <w:szCs w:val="20"/>
                <w:color w:val="auto"/>
              </w:rPr>
            </w:pPr>
            <w:r>
              <w:rPr>
                <w:rFonts w:ascii="Times New Roman" w:cs="Times New Roman" w:eastAsia="Times New Roman" w:hAnsi="Times New Roman"/>
                <w:sz w:val="14"/>
                <w:szCs w:val="14"/>
                <w:color w:val="0000FF"/>
              </w:rPr>
              <w:t>Management’s Discussion and Analysis of Financial Condition and Results of Operations</w:t>
            </w:r>
          </w:p>
        </w:tc>
        <w:tc>
          <w:tcPr>
            <w:tcW w:w="54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600" w:type="dxa"/>
            <w:vAlign w:val="bottom"/>
            <w:tcBorders>
              <w:left w:val="single" w:sz="8" w:color="0000FF"/>
            </w:tcBorders>
            <w:gridSpan w:val="5"/>
            <w:shd w:val="clear" w:color="auto" w:fill="0000FF"/>
          </w:tcPr>
          <w:p>
            <w:pPr>
              <w:spacing w:after="0" w:line="20" w:lineRule="exact"/>
              <w:rPr>
                <w:sz w:val="1"/>
                <w:szCs w:val="1"/>
                <w:color w:val="auto"/>
              </w:rPr>
            </w:pPr>
          </w:p>
        </w:tc>
        <w:tc>
          <w:tcPr>
            <w:tcW w:w="1680" w:type="dxa"/>
            <w:vAlign w:val="bottom"/>
            <w:tcBorders>
              <w:left w:val="single" w:sz="8" w:color="0000FF"/>
            </w:tcBorders>
            <w:gridSpan w:val="2"/>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780" w:type="dxa"/>
            <w:vAlign w:val="bottom"/>
            <w:gridSpan w:val="2"/>
          </w:tcPr>
          <w:p>
            <w:pPr>
              <w:spacing w:after="0" w:line="152" w:lineRule="exact"/>
              <w:rPr>
                <w:sz w:val="20"/>
                <w:szCs w:val="20"/>
                <w:color w:val="auto"/>
              </w:rPr>
            </w:pPr>
            <w:r>
              <w:rPr>
                <w:rFonts w:ascii="Times New Roman" w:cs="Times New Roman" w:eastAsia="Times New Roman" w:hAnsi="Times New Roman"/>
                <w:sz w:val="14"/>
                <w:szCs w:val="14"/>
                <w:color w:val="auto"/>
              </w:rPr>
              <w:t>Item 3.</w:t>
            </w:r>
          </w:p>
        </w:tc>
        <w:tc>
          <w:tcPr>
            <w:tcW w:w="6420" w:type="dxa"/>
            <w:vAlign w:val="bottom"/>
            <w:gridSpan w:val="15"/>
          </w:tcPr>
          <w:p>
            <w:pPr>
              <w:spacing w:after="0" w:line="152" w:lineRule="exact"/>
              <w:rPr>
                <w:sz w:val="20"/>
                <w:szCs w:val="20"/>
                <w:color w:val="auto"/>
              </w:rPr>
            </w:pPr>
            <w:r>
              <w:rPr>
                <w:rFonts w:ascii="Times New Roman" w:cs="Times New Roman" w:eastAsia="Times New Roman" w:hAnsi="Times New Roman"/>
                <w:sz w:val="14"/>
                <w:szCs w:val="14"/>
                <w:color w:val="0000FF"/>
              </w:rPr>
              <w:t>Quantitative and Qualitative Disclosures About Market Risk</w:t>
            </w:r>
          </w:p>
        </w:tc>
        <w:tc>
          <w:tcPr>
            <w:tcW w:w="54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600" w:type="dxa"/>
            <w:vAlign w:val="bottom"/>
            <w:tcBorders>
              <w:left w:val="single" w:sz="8" w:color="0000FF"/>
            </w:tcBorders>
            <w:gridSpan w:val="5"/>
            <w:shd w:val="clear" w:color="auto" w:fill="0000FF"/>
          </w:tcPr>
          <w:p>
            <w:pPr>
              <w:spacing w:after="0" w:line="20" w:lineRule="exact"/>
              <w:rPr>
                <w:sz w:val="1"/>
                <w:szCs w:val="1"/>
                <w:color w:val="auto"/>
              </w:rPr>
            </w:pPr>
          </w:p>
        </w:tc>
        <w:tc>
          <w:tcPr>
            <w:tcW w:w="296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780" w:type="dxa"/>
            <w:vAlign w:val="bottom"/>
            <w:gridSpan w:val="2"/>
          </w:tcPr>
          <w:p>
            <w:pPr>
              <w:spacing w:after="0" w:line="152" w:lineRule="exact"/>
              <w:rPr>
                <w:sz w:val="20"/>
                <w:szCs w:val="20"/>
                <w:color w:val="auto"/>
              </w:rPr>
            </w:pPr>
            <w:r>
              <w:rPr>
                <w:rFonts w:ascii="Times New Roman" w:cs="Times New Roman" w:eastAsia="Times New Roman" w:hAnsi="Times New Roman"/>
                <w:sz w:val="14"/>
                <w:szCs w:val="14"/>
                <w:color w:val="auto"/>
              </w:rPr>
              <w:t>Item 4.</w:t>
            </w:r>
          </w:p>
        </w:tc>
        <w:tc>
          <w:tcPr>
            <w:tcW w:w="6420" w:type="dxa"/>
            <w:vAlign w:val="bottom"/>
            <w:gridSpan w:val="15"/>
          </w:tcPr>
          <w:p>
            <w:pPr>
              <w:spacing w:after="0" w:line="152" w:lineRule="exact"/>
              <w:rPr>
                <w:sz w:val="20"/>
                <w:szCs w:val="20"/>
                <w:color w:val="auto"/>
              </w:rPr>
            </w:pPr>
            <w:r>
              <w:rPr>
                <w:rFonts w:ascii="Times New Roman" w:cs="Times New Roman" w:eastAsia="Times New Roman" w:hAnsi="Times New Roman"/>
                <w:sz w:val="14"/>
                <w:szCs w:val="14"/>
                <w:color w:val="0000FF"/>
              </w:rPr>
              <w:t>Controls and Procedures</w:t>
            </w:r>
          </w:p>
        </w:tc>
        <w:tc>
          <w:tcPr>
            <w:tcW w:w="54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20"/>
        </w:trPr>
        <w:tc>
          <w:tcPr>
            <w:tcW w:w="7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PART II.</w:t>
            </w: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0" w:type="dxa"/>
            <w:vAlign w:val="bottom"/>
            <w:gridSpan w:val="5"/>
          </w:tcPr>
          <w:p>
            <w:pPr>
              <w:spacing w:after="0" w:line="20" w:lineRule="exact"/>
              <w:rPr>
                <w:sz w:val="1"/>
                <w:szCs w:val="1"/>
                <w:color w:val="auto"/>
              </w:rPr>
            </w:pPr>
          </w:p>
        </w:tc>
        <w:tc>
          <w:tcPr>
            <w:tcW w:w="296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4"/>
        </w:trPr>
        <w:tc>
          <w:tcPr>
            <w:tcW w:w="780" w:type="dxa"/>
            <w:vAlign w:val="bottom"/>
            <w:gridSpan w:val="2"/>
            <w:vMerge w:val="continue"/>
          </w:tcPr>
          <w:p>
            <w:pPr>
              <w:spacing w:after="0"/>
              <w:rPr>
                <w:sz w:val="24"/>
                <w:szCs w:val="24"/>
                <w:color w:val="auto"/>
              </w:rPr>
            </w:pPr>
          </w:p>
        </w:tc>
        <w:tc>
          <w:tcPr>
            <w:tcW w:w="6420" w:type="dxa"/>
            <w:vAlign w:val="bottom"/>
            <w:gridSpan w:val="15"/>
          </w:tcPr>
          <w:p>
            <w:pPr>
              <w:spacing w:after="0"/>
              <w:rPr>
                <w:sz w:val="20"/>
                <w:szCs w:val="20"/>
                <w:color w:val="auto"/>
              </w:rPr>
            </w:pPr>
            <w:r>
              <w:rPr>
                <w:rFonts w:ascii="Times New Roman" w:cs="Times New Roman" w:eastAsia="Times New Roman" w:hAnsi="Times New Roman"/>
                <w:sz w:val="14"/>
                <w:szCs w:val="14"/>
                <w:color w:val="0000FF"/>
              </w:rPr>
              <w:t>OTHER INFORMATION</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gridSpan w:val="2"/>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0" w:type="dxa"/>
            <w:vAlign w:val="bottom"/>
            <w:gridSpan w:val="5"/>
          </w:tcPr>
          <w:p>
            <w:pPr>
              <w:spacing w:after="0" w:line="20" w:lineRule="exact"/>
              <w:rPr>
                <w:sz w:val="1"/>
                <w:szCs w:val="1"/>
                <w:color w:val="auto"/>
              </w:rPr>
            </w:pPr>
          </w:p>
        </w:tc>
        <w:tc>
          <w:tcPr>
            <w:tcW w:w="296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4"/>
        </w:trPr>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1.</w:t>
            </w:r>
          </w:p>
        </w:tc>
        <w:tc>
          <w:tcPr>
            <w:tcW w:w="6420" w:type="dxa"/>
            <w:vAlign w:val="bottom"/>
            <w:gridSpan w:val="15"/>
          </w:tcPr>
          <w:p>
            <w:pPr>
              <w:spacing w:after="0"/>
              <w:rPr>
                <w:sz w:val="20"/>
                <w:szCs w:val="20"/>
                <w:color w:val="auto"/>
              </w:rPr>
            </w:pPr>
            <w:r>
              <w:rPr>
                <w:rFonts w:ascii="Times New Roman" w:cs="Times New Roman" w:eastAsia="Times New Roman" w:hAnsi="Times New Roman"/>
                <w:sz w:val="14"/>
                <w:szCs w:val="14"/>
                <w:color w:val="0000FF"/>
              </w:rPr>
              <w:t>Legal Proceedings</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20" w:type="dxa"/>
            <w:vAlign w:val="bottom"/>
            <w:tcBorders>
              <w:left w:val="single" w:sz="8" w:color="0000FF"/>
            </w:tcBorders>
            <w:gridSpan w:val="4"/>
          </w:tcPr>
          <w:p>
            <w:pPr>
              <w:spacing w:after="0" w:line="20" w:lineRule="exact"/>
              <w:rPr>
                <w:sz w:val="1"/>
                <w:szCs w:val="1"/>
                <w:color w:val="auto"/>
              </w:rPr>
            </w:pPr>
          </w:p>
        </w:tc>
        <w:tc>
          <w:tcPr>
            <w:tcW w:w="1600" w:type="dxa"/>
            <w:vAlign w:val="bottom"/>
            <w:gridSpan w:val="5"/>
          </w:tcPr>
          <w:p>
            <w:pPr>
              <w:spacing w:after="0" w:line="20" w:lineRule="exact"/>
              <w:rPr>
                <w:sz w:val="1"/>
                <w:szCs w:val="1"/>
                <w:color w:val="auto"/>
              </w:rPr>
            </w:pPr>
          </w:p>
        </w:tc>
        <w:tc>
          <w:tcPr>
            <w:tcW w:w="296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780" w:type="dxa"/>
            <w:vAlign w:val="bottom"/>
            <w:gridSpan w:val="2"/>
          </w:tcPr>
          <w:p>
            <w:pPr>
              <w:spacing w:after="0" w:line="152" w:lineRule="exact"/>
              <w:rPr>
                <w:sz w:val="20"/>
                <w:szCs w:val="20"/>
                <w:color w:val="auto"/>
              </w:rPr>
            </w:pPr>
            <w:r>
              <w:rPr>
                <w:rFonts w:ascii="Times New Roman" w:cs="Times New Roman" w:eastAsia="Times New Roman" w:hAnsi="Times New Roman"/>
                <w:sz w:val="14"/>
                <w:szCs w:val="14"/>
                <w:color w:val="auto"/>
              </w:rPr>
              <w:t>Item 1A.</w:t>
            </w:r>
          </w:p>
        </w:tc>
        <w:tc>
          <w:tcPr>
            <w:tcW w:w="6420" w:type="dxa"/>
            <w:vAlign w:val="bottom"/>
            <w:gridSpan w:val="15"/>
          </w:tcPr>
          <w:p>
            <w:pPr>
              <w:spacing w:after="0" w:line="152" w:lineRule="exact"/>
              <w:rPr>
                <w:sz w:val="20"/>
                <w:szCs w:val="20"/>
                <w:color w:val="auto"/>
              </w:rPr>
            </w:pPr>
            <w:r>
              <w:rPr>
                <w:rFonts w:ascii="Times New Roman" w:cs="Times New Roman" w:eastAsia="Times New Roman" w:hAnsi="Times New Roman"/>
                <w:sz w:val="14"/>
                <w:szCs w:val="14"/>
                <w:color w:val="0000FF"/>
              </w:rPr>
              <w:t>Risk Factors</w:t>
            </w:r>
          </w:p>
        </w:tc>
        <w:tc>
          <w:tcPr>
            <w:tcW w:w="54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1600" w:type="dxa"/>
            <w:vAlign w:val="bottom"/>
            <w:gridSpan w:val="5"/>
          </w:tcPr>
          <w:p>
            <w:pPr>
              <w:spacing w:after="0" w:line="20" w:lineRule="exact"/>
              <w:rPr>
                <w:sz w:val="1"/>
                <w:szCs w:val="1"/>
                <w:color w:val="auto"/>
              </w:rPr>
            </w:pPr>
          </w:p>
        </w:tc>
        <w:tc>
          <w:tcPr>
            <w:tcW w:w="296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780" w:type="dxa"/>
            <w:vAlign w:val="bottom"/>
            <w:gridSpan w:val="2"/>
          </w:tcPr>
          <w:p>
            <w:pPr>
              <w:spacing w:after="0" w:line="152" w:lineRule="exact"/>
              <w:rPr>
                <w:sz w:val="20"/>
                <w:szCs w:val="20"/>
                <w:color w:val="auto"/>
              </w:rPr>
            </w:pPr>
            <w:r>
              <w:rPr>
                <w:rFonts w:ascii="Times New Roman" w:cs="Times New Roman" w:eastAsia="Times New Roman" w:hAnsi="Times New Roman"/>
                <w:sz w:val="14"/>
                <w:szCs w:val="14"/>
                <w:color w:val="auto"/>
              </w:rPr>
              <w:t>Item 2.</w:t>
            </w:r>
          </w:p>
        </w:tc>
        <w:tc>
          <w:tcPr>
            <w:tcW w:w="6420" w:type="dxa"/>
            <w:vAlign w:val="bottom"/>
            <w:gridSpan w:val="15"/>
          </w:tcPr>
          <w:p>
            <w:pPr>
              <w:spacing w:after="0" w:line="152" w:lineRule="exact"/>
              <w:rPr>
                <w:sz w:val="20"/>
                <w:szCs w:val="20"/>
                <w:color w:val="auto"/>
              </w:rPr>
            </w:pPr>
            <w:r>
              <w:rPr>
                <w:rFonts w:ascii="Times New Roman" w:cs="Times New Roman" w:eastAsia="Times New Roman" w:hAnsi="Times New Roman"/>
                <w:sz w:val="14"/>
                <w:szCs w:val="14"/>
                <w:color w:val="0000FF"/>
              </w:rPr>
              <w:t>Unregistered Sales of Equity Securities and Use of Proceeds</w:t>
            </w:r>
          </w:p>
        </w:tc>
        <w:tc>
          <w:tcPr>
            <w:tcW w:w="54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820" w:type="dxa"/>
            <w:vAlign w:val="bottom"/>
            <w:tcBorders>
              <w:left w:val="single" w:sz="8" w:color="0000FF"/>
            </w:tcBorders>
            <w:gridSpan w:val="4"/>
            <w:shd w:val="clear" w:color="auto" w:fill="0000FF"/>
          </w:tcPr>
          <w:p>
            <w:pPr>
              <w:spacing w:after="0" w:line="20" w:lineRule="exact"/>
              <w:rPr>
                <w:sz w:val="1"/>
                <w:szCs w:val="1"/>
                <w:color w:val="auto"/>
              </w:rPr>
            </w:pPr>
          </w:p>
        </w:tc>
        <w:tc>
          <w:tcPr>
            <w:tcW w:w="1600" w:type="dxa"/>
            <w:vAlign w:val="bottom"/>
            <w:tcBorders>
              <w:left w:val="single" w:sz="8" w:color="0000FF"/>
            </w:tcBorders>
            <w:gridSpan w:val="5"/>
            <w:shd w:val="clear" w:color="auto" w:fill="0000FF"/>
          </w:tcPr>
          <w:p>
            <w:pPr>
              <w:spacing w:after="0" w:line="20" w:lineRule="exact"/>
              <w:rPr>
                <w:sz w:val="1"/>
                <w:szCs w:val="1"/>
                <w:color w:val="auto"/>
              </w:rPr>
            </w:pPr>
          </w:p>
        </w:tc>
        <w:tc>
          <w:tcPr>
            <w:tcW w:w="296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780" w:type="dxa"/>
            <w:vAlign w:val="bottom"/>
            <w:gridSpan w:val="2"/>
          </w:tcPr>
          <w:p>
            <w:pPr>
              <w:spacing w:after="0" w:line="152" w:lineRule="exact"/>
              <w:rPr>
                <w:sz w:val="20"/>
                <w:szCs w:val="20"/>
                <w:color w:val="auto"/>
              </w:rPr>
            </w:pPr>
            <w:r>
              <w:rPr>
                <w:rFonts w:ascii="Times New Roman" w:cs="Times New Roman" w:eastAsia="Times New Roman" w:hAnsi="Times New Roman"/>
                <w:sz w:val="14"/>
                <w:szCs w:val="14"/>
                <w:color w:val="auto"/>
              </w:rPr>
              <w:t>Item 3.</w:t>
            </w:r>
          </w:p>
        </w:tc>
        <w:tc>
          <w:tcPr>
            <w:tcW w:w="6420" w:type="dxa"/>
            <w:vAlign w:val="bottom"/>
            <w:gridSpan w:val="15"/>
          </w:tcPr>
          <w:p>
            <w:pPr>
              <w:spacing w:after="0" w:line="152" w:lineRule="exact"/>
              <w:rPr>
                <w:sz w:val="20"/>
                <w:szCs w:val="20"/>
                <w:color w:val="auto"/>
              </w:rPr>
            </w:pPr>
            <w:r>
              <w:rPr>
                <w:rFonts w:ascii="Times New Roman" w:cs="Times New Roman" w:eastAsia="Times New Roman" w:hAnsi="Times New Roman"/>
                <w:sz w:val="14"/>
                <w:szCs w:val="14"/>
                <w:color w:val="0000FF"/>
              </w:rPr>
              <w:t>Defaults Upon Senior Securities</w:t>
            </w:r>
          </w:p>
        </w:tc>
        <w:tc>
          <w:tcPr>
            <w:tcW w:w="54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820" w:type="dxa"/>
            <w:vAlign w:val="bottom"/>
            <w:tcBorders>
              <w:left w:val="single" w:sz="8" w:color="0000FF"/>
            </w:tcBorders>
            <w:gridSpan w:val="4"/>
            <w:shd w:val="clear" w:color="auto" w:fill="0000FF"/>
          </w:tcPr>
          <w:p>
            <w:pPr>
              <w:spacing w:after="0" w:line="20" w:lineRule="exact"/>
              <w:rPr>
                <w:sz w:val="1"/>
                <w:szCs w:val="1"/>
                <w:color w:val="auto"/>
              </w:rPr>
            </w:pPr>
          </w:p>
        </w:tc>
        <w:tc>
          <w:tcPr>
            <w:tcW w:w="4560" w:type="dxa"/>
            <w:vAlign w:val="bottom"/>
            <w:gridSpan w:val="8"/>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780" w:type="dxa"/>
            <w:vAlign w:val="bottom"/>
            <w:gridSpan w:val="2"/>
          </w:tcPr>
          <w:p>
            <w:pPr>
              <w:spacing w:after="0" w:line="152" w:lineRule="exact"/>
              <w:rPr>
                <w:sz w:val="20"/>
                <w:szCs w:val="20"/>
                <w:color w:val="auto"/>
              </w:rPr>
            </w:pPr>
            <w:r>
              <w:rPr>
                <w:rFonts w:ascii="Times New Roman" w:cs="Times New Roman" w:eastAsia="Times New Roman" w:hAnsi="Times New Roman"/>
                <w:sz w:val="14"/>
                <w:szCs w:val="14"/>
                <w:color w:val="auto"/>
              </w:rPr>
              <w:t>Item 4.</w:t>
            </w:r>
          </w:p>
        </w:tc>
        <w:tc>
          <w:tcPr>
            <w:tcW w:w="6420" w:type="dxa"/>
            <w:vAlign w:val="bottom"/>
            <w:gridSpan w:val="15"/>
          </w:tcPr>
          <w:p>
            <w:pPr>
              <w:spacing w:after="0" w:line="152" w:lineRule="exact"/>
              <w:rPr>
                <w:sz w:val="20"/>
                <w:szCs w:val="20"/>
                <w:color w:val="auto"/>
              </w:rPr>
            </w:pPr>
            <w:r>
              <w:rPr>
                <w:rFonts w:ascii="Times New Roman" w:cs="Times New Roman" w:eastAsia="Times New Roman" w:hAnsi="Times New Roman"/>
                <w:sz w:val="14"/>
                <w:szCs w:val="14"/>
                <w:color w:val="0000FF"/>
              </w:rPr>
              <w:t>Mine Safety Disclosures</w:t>
            </w:r>
          </w:p>
        </w:tc>
        <w:tc>
          <w:tcPr>
            <w:tcW w:w="54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5020" w:type="dxa"/>
            <w:vAlign w:val="bottom"/>
            <w:gridSpan w:val="11"/>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780" w:type="dxa"/>
            <w:vAlign w:val="bottom"/>
            <w:gridSpan w:val="2"/>
          </w:tcPr>
          <w:p>
            <w:pPr>
              <w:spacing w:after="0" w:line="152" w:lineRule="exact"/>
              <w:rPr>
                <w:sz w:val="20"/>
                <w:szCs w:val="20"/>
                <w:color w:val="auto"/>
              </w:rPr>
            </w:pPr>
            <w:r>
              <w:rPr>
                <w:rFonts w:ascii="Times New Roman" w:cs="Times New Roman" w:eastAsia="Times New Roman" w:hAnsi="Times New Roman"/>
                <w:sz w:val="14"/>
                <w:szCs w:val="14"/>
                <w:color w:val="auto"/>
              </w:rPr>
              <w:t>Item 5.</w:t>
            </w:r>
          </w:p>
        </w:tc>
        <w:tc>
          <w:tcPr>
            <w:tcW w:w="6420" w:type="dxa"/>
            <w:vAlign w:val="bottom"/>
            <w:gridSpan w:val="15"/>
          </w:tcPr>
          <w:p>
            <w:pPr>
              <w:spacing w:after="0" w:line="152" w:lineRule="exact"/>
              <w:rPr>
                <w:sz w:val="20"/>
                <w:szCs w:val="20"/>
                <w:color w:val="auto"/>
              </w:rPr>
            </w:pPr>
            <w:r>
              <w:rPr>
                <w:rFonts w:ascii="Times New Roman" w:cs="Times New Roman" w:eastAsia="Times New Roman" w:hAnsi="Times New Roman"/>
                <w:sz w:val="14"/>
                <w:szCs w:val="14"/>
                <w:color w:val="0000FF"/>
              </w:rPr>
              <w:t>Other Information</w:t>
            </w:r>
          </w:p>
        </w:tc>
        <w:tc>
          <w:tcPr>
            <w:tcW w:w="54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380" w:type="dxa"/>
            <w:vAlign w:val="bottom"/>
            <w:gridSpan w:val="1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780" w:type="dxa"/>
            <w:vAlign w:val="bottom"/>
            <w:gridSpan w:val="2"/>
          </w:tcPr>
          <w:p>
            <w:pPr>
              <w:spacing w:after="0" w:line="152" w:lineRule="exact"/>
              <w:rPr>
                <w:sz w:val="20"/>
                <w:szCs w:val="20"/>
                <w:color w:val="auto"/>
              </w:rPr>
            </w:pPr>
            <w:r>
              <w:rPr>
                <w:rFonts w:ascii="Times New Roman" w:cs="Times New Roman" w:eastAsia="Times New Roman" w:hAnsi="Times New Roman"/>
                <w:sz w:val="14"/>
                <w:szCs w:val="14"/>
                <w:color w:val="auto"/>
              </w:rPr>
              <w:t>Item 6.</w:t>
            </w:r>
          </w:p>
        </w:tc>
        <w:tc>
          <w:tcPr>
            <w:tcW w:w="6420" w:type="dxa"/>
            <w:vAlign w:val="bottom"/>
            <w:gridSpan w:val="15"/>
          </w:tcPr>
          <w:p>
            <w:pPr>
              <w:spacing w:after="0" w:line="152" w:lineRule="exact"/>
              <w:rPr>
                <w:sz w:val="20"/>
                <w:szCs w:val="20"/>
                <w:color w:val="auto"/>
              </w:rPr>
            </w:pPr>
            <w:r>
              <w:rPr>
                <w:rFonts w:ascii="Times New Roman" w:cs="Times New Roman" w:eastAsia="Times New Roman" w:hAnsi="Times New Roman"/>
                <w:sz w:val="14"/>
                <w:szCs w:val="14"/>
                <w:color w:val="0000FF"/>
              </w:rPr>
              <w:t>Exhibits</w:t>
            </w:r>
          </w:p>
        </w:tc>
        <w:tc>
          <w:tcPr>
            <w:tcW w:w="54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152"/>
        </w:trPr>
        <w:tc>
          <w:tcPr>
            <w:tcW w:w="780" w:type="dxa"/>
            <w:vAlign w:val="bottom"/>
            <w:gridSpan w:val="2"/>
          </w:tcPr>
          <w:p>
            <w:pPr>
              <w:spacing w:after="0" w:line="152" w:lineRule="exact"/>
              <w:rPr>
                <w:sz w:val="20"/>
                <w:szCs w:val="20"/>
                <w:color w:val="auto"/>
              </w:rPr>
            </w:pPr>
            <w:r>
              <w:rPr>
                <w:rFonts w:ascii="Times New Roman" w:cs="Times New Roman" w:eastAsia="Times New Roman" w:hAnsi="Times New Roman"/>
                <w:sz w:val="14"/>
                <w:szCs w:val="14"/>
                <w:color w:val="0000FF"/>
              </w:rPr>
              <w:t>Signatures</w:t>
            </w:r>
          </w:p>
        </w:tc>
        <w:tc>
          <w:tcPr>
            <w:tcW w:w="480" w:type="dxa"/>
            <w:vAlign w:val="bottom"/>
            <w:tcBorders>
              <w:top w:val="single" w:sz="8" w:color="0000FF"/>
            </w:tcBorders>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54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48</w:t>
            </w:r>
          </w:p>
        </w:tc>
        <w:tc>
          <w:tcPr>
            <w:tcW w:w="0" w:type="dxa"/>
            <w:vAlign w:val="bottom"/>
          </w:tcPr>
          <w:p>
            <w:pPr>
              <w:spacing w:after="0"/>
              <w:rPr>
                <w:sz w:val="1"/>
                <w:szCs w:val="1"/>
                <w:color w:val="auto"/>
              </w:rPr>
            </w:pPr>
          </w:p>
        </w:tc>
      </w:tr>
      <w:tr>
        <w:trPr>
          <w:trHeight w:val="20"/>
        </w:trPr>
        <w:tc>
          <w:tcPr>
            <w:tcW w:w="62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96" w:right="1440" w:bottom="1440" w:gutter="0" w:footer="0" w:header="0"/>
        </w:sectPr>
      </w:pPr>
    </w:p>
    <w:bookmarkStart w:id="2" w:name="page3"/>
    <w:bookmarkEnd w:id="2"/>
    <w:p>
      <w:pPr>
        <w:ind w:left="640" w:right="879"/>
        <w:spacing w:after="0" w:line="292" w:lineRule="auto"/>
        <w:rPr>
          <w:sz w:val="20"/>
          <w:szCs w:val="20"/>
          <w:color w:val="auto"/>
        </w:rPr>
      </w:pPr>
      <w:r>
        <w:rPr>
          <w:rFonts w:ascii="Times New Roman" w:cs="Times New Roman" w:eastAsia="Times New Roman" w:hAnsi="Times New Roman"/>
          <w:sz w:val="14"/>
          <w:szCs w:val="14"/>
          <w:color w:val="auto"/>
        </w:rPr>
        <w:t>Unless the context requires otherwise, references in this Quarterly Report on Form 10-Q (this “Form 10-Q”) to “BrightSpring,” the “Company,” “we,” “us,” and “our” refer to BrightSpring Health Services, Inc. and its consolidated subsidiaries.</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FORWARD-LOOKING STATEMENTS</w:t>
      </w:r>
    </w:p>
    <w:p>
      <w:pPr>
        <w:spacing w:after="0" w:line="185" w:lineRule="exact"/>
        <w:rPr>
          <w:sz w:val="20"/>
          <w:szCs w:val="20"/>
          <w:color w:val="auto"/>
        </w:rPr>
      </w:pPr>
    </w:p>
    <w:p>
      <w:pPr>
        <w:ind w:left="640" w:right="659" w:firstLine="516"/>
        <w:spacing w:after="0" w:line="261" w:lineRule="auto"/>
        <w:rPr>
          <w:sz w:val="20"/>
          <w:szCs w:val="20"/>
          <w:color w:val="auto"/>
        </w:rPr>
      </w:pPr>
      <w:r>
        <w:rPr>
          <w:rFonts w:ascii="Times New Roman" w:cs="Times New Roman" w:eastAsia="Times New Roman" w:hAnsi="Times New Roman"/>
          <w:sz w:val="14"/>
          <w:szCs w:val="14"/>
          <w:color w:val="auto"/>
        </w:rPr>
        <w:t>This Quarterly Report on Form 10-Q includes forward-looking statements within the meaning of Section 27A of the Securities Act of 1933, as amended, and Section 21E of the Securities Exchange Act of 1934, as amended, which are intended to be covered by the safe harbor provisions of the Private Securities Litigation Reform Act of 1995. These statements reflect our current views with respect to, among other things, our operations, financial performance, the anticipated impact of regulatory and reimbursement changes, and our capital structure. We have used words such as “anticipate,” “assume,” “believe,” “continue,” “could,” “estimate,” “expect,” “guidance,” “intend,” “may,” “outlook,” “plan,” “potential,” “predict,” “should,” “target,” “project,” “future,” “will,” “would,” “seek,” “foreseeable,” the negative version of these words, or similar terms and phrases to identify forward-looking statements.</w:t>
      </w:r>
    </w:p>
    <w:p>
      <w:pPr>
        <w:spacing w:after="0" w:line="235" w:lineRule="exact"/>
        <w:rPr>
          <w:sz w:val="20"/>
          <w:szCs w:val="20"/>
          <w:color w:val="auto"/>
        </w:rPr>
      </w:pPr>
    </w:p>
    <w:p>
      <w:pPr>
        <w:ind w:left="640" w:right="719" w:firstLine="516"/>
        <w:spacing w:after="0" w:line="268" w:lineRule="auto"/>
        <w:rPr>
          <w:sz w:val="20"/>
          <w:szCs w:val="20"/>
          <w:color w:val="auto"/>
        </w:rPr>
      </w:pPr>
      <w:r>
        <w:rPr>
          <w:rFonts w:ascii="Times New Roman" w:cs="Times New Roman" w:eastAsia="Times New Roman" w:hAnsi="Times New Roman"/>
          <w:sz w:val="14"/>
          <w:szCs w:val="14"/>
          <w:color w:val="auto"/>
        </w:rPr>
        <w:t>Forward-looking statements are neither historical facts nor assurances of future performance. Instead, they are based only on our current beliefs, expectations and assumptions regarding the future of our industries, business strategy, goals and expectations concerning our market position, future operations, margins, profitability, capital expenditures, liquidity and capital resources, and other financial and operating information. We believe that these factors include but are not limited to the following:</w:t>
      </w:r>
    </w:p>
    <w:p>
      <w:pPr>
        <w:spacing w:after="0" w:line="54" w:lineRule="exact"/>
        <w:rPr>
          <w:sz w:val="20"/>
          <w:szCs w:val="20"/>
          <w:color w:val="auto"/>
        </w:rPr>
      </w:pPr>
    </w:p>
    <w:p>
      <w:pPr>
        <w:ind w:left="1420" w:hanging="267"/>
        <w:spacing w:after="0"/>
        <w:tabs>
          <w:tab w:leader="none" w:pos="14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operation in a highly competitive industry;</w:t>
      </w:r>
    </w:p>
    <w:p>
      <w:pPr>
        <w:spacing w:after="0" w:line="96" w:lineRule="exact"/>
        <w:rPr>
          <w:rFonts w:ascii="Times New Roman" w:cs="Times New Roman" w:eastAsia="Times New Roman" w:hAnsi="Times New Roman"/>
          <w:sz w:val="14"/>
          <w:szCs w:val="14"/>
          <w:color w:val="auto"/>
        </w:rPr>
      </w:pPr>
    </w:p>
    <w:p>
      <w:pPr>
        <w:ind w:left="1420" w:hanging="267"/>
        <w:spacing w:after="0"/>
        <w:tabs>
          <w:tab w:leader="none" w:pos="14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inability to maintain relationships with existing patient referral sources or establish new referral sources;</w:t>
      </w:r>
    </w:p>
    <w:p>
      <w:pPr>
        <w:spacing w:after="0" w:line="96" w:lineRule="exact"/>
        <w:rPr>
          <w:rFonts w:ascii="Times New Roman" w:cs="Times New Roman" w:eastAsia="Times New Roman" w:hAnsi="Times New Roman"/>
          <w:sz w:val="14"/>
          <w:szCs w:val="14"/>
          <w:color w:val="auto"/>
        </w:rPr>
      </w:pPr>
    </w:p>
    <w:p>
      <w:pPr>
        <w:ind w:left="1420" w:hanging="267"/>
        <w:spacing w:after="0"/>
        <w:tabs>
          <w:tab w:leader="none" w:pos="14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to Medicare and Medicaid rates or methods governing Medicare and Medicaid payments for our services;</w:t>
      </w:r>
    </w:p>
    <w:p>
      <w:pPr>
        <w:spacing w:after="0" w:line="96" w:lineRule="exact"/>
        <w:rPr>
          <w:rFonts w:ascii="Times New Roman" w:cs="Times New Roman" w:eastAsia="Times New Roman" w:hAnsi="Times New Roman"/>
          <w:sz w:val="14"/>
          <w:szCs w:val="14"/>
          <w:color w:val="auto"/>
        </w:rPr>
      </w:pPr>
    </w:p>
    <w:p>
      <w:pPr>
        <w:ind w:left="1420" w:hanging="267"/>
        <w:spacing w:after="0"/>
        <w:tabs>
          <w:tab w:leader="none" w:pos="14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 containment initiatives of third-party payors, including post-payment audits;</w:t>
      </w:r>
    </w:p>
    <w:p>
      <w:pPr>
        <w:spacing w:after="0" w:line="96" w:lineRule="exact"/>
        <w:rPr>
          <w:rFonts w:ascii="Times New Roman" w:cs="Times New Roman" w:eastAsia="Times New Roman" w:hAnsi="Times New Roman"/>
          <w:sz w:val="14"/>
          <w:szCs w:val="14"/>
          <w:color w:val="auto"/>
        </w:rPr>
      </w:pPr>
    </w:p>
    <w:p>
      <w:pPr>
        <w:ind w:left="1420" w:right="679" w:hanging="267"/>
        <w:spacing w:after="0" w:line="292" w:lineRule="auto"/>
        <w:tabs>
          <w:tab w:leader="none" w:pos="14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implementation of alternative payment models and the transition of Medicaid and Medicare beneficiaries to managed care organizations may limit our market share and could adversely affect our revenues;</w:t>
      </w:r>
    </w:p>
    <w:p>
      <w:pPr>
        <w:spacing w:after="0" w:line="37" w:lineRule="exact"/>
        <w:rPr>
          <w:rFonts w:ascii="Times New Roman" w:cs="Times New Roman" w:eastAsia="Times New Roman" w:hAnsi="Times New Roman"/>
          <w:sz w:val="14"/>
          <w:szCs w:val="14"/>
          <w:color w:val="auto"/>
        </w:rPr>
      </w:pPr>
    </w:p>
    <w:p>
      <w:pPr>
        <w:ind w:left="1420" w:right="839" w:hanging="267"/>
        <w:spacing w:after="0" w:line="292" w:lineRule="auto"/>
        <w:tabs>
          <w:tab w:leader="none" w:pos="14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case mix of patients, as well as payor mix and payment methodologies, and decisions and operations of third-party organizations;</w:t>
      </w:r>
    </w:p>
    <w:p>
      <w:pPr>
        <w:spacing w:after="0" w:line="37" w:lineRule="exact"/>
        <w:rPr>
          <w:rFonts w:ascii="Times New Roman" w:cs="Times New Roman" w:eastAsia="Times New Roman" w:hAnsi="Times New Roman"/>
          <w:sz w:val="14"/>
          <w:szCs w:val="14"/>
          <w:color w:val="auto"/>
        </w:rPr>
      </w:pPr>
    </w:p>
    <w:p>
      <w:pPr>
        <w:ind w:left="1420" w:right="1139" w:hanging="267"/>
        <w:spacing w:after="0" w:line="292" w:lineRule="auto"/>
        <w:tabs>
          <w:tab w:leader="none" w:pos="14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reliance on federal and state spending, budget decisions, and continuous governmental operations which may fluctuate under different political conditions;</w:t>
      </w:r>
    </w:p>
    <w:p>
      <w:pPr>
        <w:spacing w:after="0" w:line="37" w:lineRule="exact"/>
        <w:rPr>
          <w:rFonts w:ascii="Times New Roman" w:cs="Times New Roman" w:eastAsia="Times New Roman" w:hAnsi="Times New Roman"/>
          <w:sz w:val="14"/>
          <w:szCs w:val="14"/>
          <w:color w:val="auto"/>
        </w:rPr>
      </w:pPr>
    </w:p>
    <w:p>
      <w:pPr>
        <w:ind w:left="1420" w:right="879" w:hanging="267"/>
        <w:spacing w:after="0" w:line="292" w:lineRule="auto"/>
        <w:tabs>
          <w:tab w:leader="none" w:pos="14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drug utilization and/or pricing, PBM contracts, and Medicare Part D/Medicaid reimbursement, which may negatively impact our profitability;</w:t>
      </w:r>
    </w:p>
    <w:p>
      <w:pPr>
        <w:spacing w:after="0" w:line="37" w:lineRule="exact"/>
        <w:rPr>
          <w:rFonts w:ascii="Times New Roman" w:cs="Times New Roman" w:eastAsia="Times New Roman" w:hAnsi="Times New Roman"/>
          <w:sz w:val="14"/>
          <w:szCs w:val="14"/>
          <w:color w:val="auto"/>
        </w:rPr>
      </w:pPr>
    </w:p>
    <w:p>
      <w:pPr>
        <w:ind w:left="1420" w:hanging="267"/>
        <w:spacing w:after="0"/>
        <w:tabs>
          <w:tab w:leader="none" w:pos="14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our relationships with pharmaceutical suppliers, including changes in drug availability or pricing;</w:t>
      </w:r>
    </w:p>
    <w:p>
      <w:pPr>
        <w:spacing w:after="0" w:line="96" w:lineRule="exact"/>
        <w:rPr>
          <w:rFonts w:ascii="Times New Roman" w:cs="Times New Roman" w:eastAsia="Times New Roman" w:hAnsi="Times New Roman"/>
          <w:sz w:val="14"/>
          <w:szCs w:val="14"/>
          <w:color w:val="auto"/>
        </w:rPr>
      </w:pPr>
    </w:p>
    <w:p>
      <w:pPr>
        <w:ind w:left="1420" w:right="1259" w:hanging="267"/>
        <w:spacing w:after="0" w:line="292" w:lineRule="auto"/>
        <w:tabs>
          <w:tab w:leader="none" w:pos="14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reliance on the continual recruitment and retention of nurses, pharmacists, therapists, caregivers, direct support professionals, and other qualified personnel, including senior management;</w:t>
      </w:r>
    </w:p>
    <w:p>
      <w:pPr>
        <w:spacing w:after="0" w:line="37" w:lineRule="exact"/>
        <w:rPr>
          <w:rFonts w:ascii="Times New Roman" w:cs="Times New Roman" w:eastAsia="Times New Roman" w:hAnsi="Times New Roman"/>
          <w:sz w:val="14"/>
          <w:szCs w:val="14"/>
          <w:color w:val="auto"/>
        </w:rPr>
      </w:pPr>
    </w:p>
    <w:p>
      <w:pPr>
        <w:ind w:left="1420" w:right="1039" w:hanging="267"/>
        <w:spacing w:after="0" w:line="292" w:lineRule="auto"/>
        <w:tabs>
          <w:tab w:leader="none" w:pos="14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compliance with or changes to federal, state, and local laws and regulations that govern our employment practices, including minimum wage, living wage, and paid time-off requirements;</w:t>
      </w:r>
    </w:p>
    <w:p>
      <w:pPr>
        <w:spacing w:after="0" w:line="37" w:lineRule="exact"/>
        <w:rPr>
          <w:rFonts w:ascii="Times New Roman" w:cs="Times New Roman" w:eastAsia="Times New Roman" w:hAnsi="Times New Roman"/>
          <w:sz w:val="14"/>
          <w:szCs w:val="14"/>
          <w:color w:val="auto"/>
        </w:rPr>
      </w:pPr>
    </w:p>
    <w:p>
      <w:pPr>
        <w:ind w:left="1420" w:hanging="267"/>
        <w:spacing w:after="0"/>
        <w:tabs>
          <w:tab w:leader="none" w:pos="14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fluctuation of our results of operations on a quarterly basis;</w:t>
      </w:r>
    </w:p>
    <w:p>
      <w:pPr>
        <w:spacing w:after="0" w:line="96" w:lineRule="exact"/>
        <w:rPr>
          <w:rFonts w:ascii="Times New Roman" w:cs="Times New Roman" w:eastAsia="Times New Roman" w:hAnsi="Times New Roman"/>
          <w:sz w:val="14"/>
          <w:szCs w:val="14"/>
          <w:color w:val="auto"/>
        </w:rPr>
      </w:pPr>
    </w:p>
    <w:p>
      <w:pPr>
        <w:ind w:left="1420" w:hanging="267"/>
        <w:spacing w:after="0"/>
        <w:tabs>
          <w:tab w:leader="none" w:pos="14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harm caused by labor relation matters;</w:t>
      </w:r>
    </w:p>
    <w:p>
      <w:pPr>
        <w:spacing w:after="0" w:line="96" w:lineRule="exact"/>
        <w:rPr>
          <w:rFonts w:ascii="Times New Roman" w:cs="Times New Roman" w:eastAsia="Times New Roman" w:hAnsi="Times New Roman"/>
          <w:sz w:val="14"/>
          <w:szCs w:val="14"/>
          <w:color w:val="auto"/>
        </w:rPr>
      </w:pPr>
    </w:p>
    <w:p>
      <w:pPr>
        <w:ind w:left="1420" w:right="779" w:hanging="267"/>
        <w:spacing w:after="0" w:line="292" w:lineRule="auto"/>
        <w:tabs>
          <w:tab w:leader="none" w:pos="14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limitations in our ability to control reimbursement rates received for our services if we are unable to maintain or reduce our costs to provide such services;</w:t>
      </w:r>
    </w:p>
    <w:p>
      <w:pPr>
        <w:spacing w:after="0" w:line="37" w:lineRule="exact"/>
        <w:rPr>
          <w:rFonts w:ascii="Times New Roman" w:cs="Times New Roman" w:eastAsia="Times New Roman" w:hAnsi="Times New Roman"/>
          <w:sz w:val="14"/>
          <w:szCs w:val="14"/>
          <w:color w:val="auto"/>
        </w:rPr>
      </w:pPr>
    </w:p>
    <w:p>
      <w:pPr>
        <w:ind w:left="1420" w:hanging="267"/>
        <w:spacing w:after="0"/>
        <w:tabs>
          <w:tab w:leader="none" w:pos="14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delays in collection or non-collection of our accounts receivable, particularly during the business integration process;</w:t>
      </w:r>
    </w:p>
    <w:p>
      <w:pPr>
        <w:spacing w:after="0" w:line="96" w:lineRule="exact"/>
        <w:rPr>
          <w:rFonts w:ascii="Times New Roman" w:cs="Times New Roman" w:eastAsia="Times New Roman" w:hAnsi="Times New Roman"/>
          <w:sz w:val="14"/>
          <w:szCs w:val="14"/>
          <w:color w:val="auto"/>
        </w:rPr>
      </w:pPr>
    </w:p>
    <w:p>
      <w:pPr>
        <w:ind w:left="1420" w:right="659" w:hanging="267"/>
        <w:spacing w:after="0" w:line="292" w:lineRule="auto"/>
        <w:tabs>
          <w:tab w:leader="none" w:pos="14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manage our growth effectively, which may inhibit our ability to execute our business plan, maintain high levels of service and satisfaction or adequately address competitive challenges;</w:t>
      </w:r>
    </w:p>
    <w:p>
      <w:pPr>
        <w:spacing w:after="0" w:line="37" w:lineRule="exact"/>
        <w:rPr>
          <w:rFonts w:ascii="Times New Roman" w:cs="Times New Roman" w:eastAsia="Times New Roman" w:hAnsi="Times New Roman"/>
          <w:sz w:val="14"/>
          <w:szCs w:val="14"/>
          <w:color w:val="auto"/>
        </w:rPr>
      </w:pPr>
    </w:p>
    <w:p>
      <w:pPr>
        <w:ind w:left="1420" w:right="819" w:hanging="267"/>
        <w:spacing w:after="0" w:line="292" w:lineRule="auto"/>
        <w:tabs>
          <w:tab w:leader="none" w:pos="14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identify, successfully complete and manage acquisitions, joint ventures, divestitures and other significant transactions and strategic initiatives;</w:t>
      </w:r>
    </w:p>
    <w:p>
      <w:pPr>
        <w:spacing w:after="0" w:line="37" w:lineRule="exact"/>
        <w:rPr>
          <w:rFonts w:ascii="Times New Roman" w:cs="Times New Roman" w:eastAsia="Times New Roman" w:hAnsi="Times New Roman"/>
          <w:sz w:val="14"/>
          <w:szCs w:val="14"/>
          <w:color w:val="auto"/>
        </w:rPr>
      </w:pPr>
    </w:p>
    <w:p>
      <w:pPr>
        <w:ind w:left="1420" w:hanging="267"/>
        <w:spacing w:after="0"/>
        <w:tabs>
          <w:tab w:leader="none" w:pos="14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continue to provide consistently high quality of care;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70" w:right="1440" w:bottom="1440" w:gutter="0" w:footer="0" w:header="0"/>
        </w:sectPr>
      </w:pPr>
    </w:p>
    <w:bookmarkStart w:id="3" w:name="page4"/>
    <w:bookmarkEnd w:id="3"/>
    <w:p>
      <w:pPr>
        <w:ind w:left="1420" w:right="719" w:hanging="267"/>
        <w:spacing w:after="0" w:line="292" w:lineRule="auto"/>
        <w:tabs>
          <w:tab w:leader="none" w:pos="14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maintenance of our corporate reputation or the emergence of adverse publicity, including negative information on social media or changes in public perception of our services;</w:t>
      </w:r>
    </w:p>
    <w:p>
      <w:pPr>
        <w:spacing w:after="0" w:line="37" w:lineRule="exact"/>
        <w:rPr>
          <w:rFonts w:ascii="Times New Roman" w:cs="Times New Roman" w:eastAsia="Times New Roman" w:hAnsi="Times New Roman"/>
          <w:sz w:val="14"/>
          <w:szCs w:val="14"/>
          <w:color w:val="auto"/>
        </w:rPr>
      </w:pPr>
    </w:p>
    <w:p>
      <w:pPr>
        <w:ind w:left="1420" w:right="899" w:hanging="267"/>
        <w:spacing w:after="0" w:line="274" w:lineRule="auto"/>
        <w:tabs>
          <w:tab w:leader="none" w:pos="14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contract continuance, expansion and renewal with our existing customers, including renewals at lower fee levels, customers declining to purchase additional services from us, or reduction in the services received from us pursuant to those contracts;</w:t>
      </w:r>
    </w:p>
    <w:p>
      <w:pPr>
        <w:spacing w:after="0" w:line="50" w:lineRule="exact"/>
        <w:rPr>
          <w:rFonts w:ascii="Times New Roman" w:cs="Times New Roman" w:eastAsia="Times New Roman" w:hAnsi="Times New Roman"/>
          <w:sz w:val="14"/>
          <w:szCs w:val="14"/>
          <w:color w:val="auto"/>
        </w:rPr>
      </w:pPr>
    </w:p>
    <w:p>
      <w:pPr>
        <w:ind w:left="1420" w:right="759" w:hanging="267"/>
        <w:spacing w:after="0" w:line="292" w:lineRule="auto"/>
        <w:tabs>
          <w:tab w:leader="none" w:pos="14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 investment in, implementation of improvements to and proper maintenance of the uninterrupted operation and data integrity of our information technology and other business systems;</w:t>
      </w:r>
    </w:p>
    <w:p>
      <w:pPr>
        <w:spacing w:after="0" w:line="37" w:lineRule="exact"/>
        <w:rPr>
          <w:rFonts w:ascii="Times New Roman" w:cs="Times New Roman" w:eastAsia="Times New Roman" w:hAnsi="Times New Roman"/>
          <w:sz w:val="14"/>
          <w:szCs w:val="14"/>
          <w:color w:val="auto"/>
        </w:rPr>
      </w:pPr>
    </w:p>
    <w:p>
      <w:pPr>
        <w:jc w:val="both"/>
        <w:ind w:left="1420" w:right="699" w:hanging="267"/>
        <w:spacing w:after="0" w:line="268" w:lineRule="auto"/>
        <w:tabs>
          <w:tab w:leader="none" w:pos="14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security breaches, loss of data, and other disruptions, which could compromise sensitive business or patient information; cause a loss of confidential patient data, employee data or personal information; or prevent access to critical information and thereby expose us to liability, litigation, and federal and state governmental inquiries and damage our reputation and brand;</w:t>
      </w:r>
    </w:p>
    <w:p>
      <w:pPr>
        <w:spacing w:after="0" w:line="54" w:lineRule="exact"/>
        <w:rPr>
          <w:rFonts w:ascii="Times New Roman" w:cs="Times New Roman" w:eastAsia="Times New Roman" w:hAnsi="Times New Roman"/>
          <w:sz w:val="14"/>
          <w:szCs w:val="14"/>
          <w:color w:val="auto"/>
        </w:rPr>
      </w:pPr>
    </w:p>
    <w:p>
      <w:pPr>
        <w:ind w:left="1420" w:hanging="267"/>
        <w:spacing w:after="0"/>
        <w:tabs>
          <w:tab w:leader="none" w:pos="14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credit card payments and other payment methods;</w:t>
      </w:r>
    </w:p>
    <w:p>
      <w:pPr>
        <w:spacing w:after="0" w:line="96" w:lineRule="exact"/>
        <w:rPr>
          <w:rFonts w:ascii="Times New Roman" w:cs="Times New Roman" w:eastAsia="Times New Roman" w:hAnsi="Times New Roman"/>
          <w:sz w:val="14"/>
          <w:szCs w:val="14"/>
          <w:color w:val="auto"/>
        </w:rPr>
      </w:pPr>
    </w:p>
    <w:p>
      <w:pPr>
        <w:ind w:left="1420" w:hanging="267"/>
        <w:spacing w:after="0"/>
        <w:tabs>
          <w:tab w:leader="none" w:pos="14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potential substantial malpractice or other similar claims;</w:t>
      </w:r>
    </w:p>
    <w:p>
      <w:pPr>
        <w:spacing w:after="0" w:line="96" w:lineRule="exact"/>
        <w:rPr>
          <w:rFonts w:ascii="Times New Roman" w:cs="Times New Roman" w:eastAsia="Times New Roman" w:hAnsi="Times New Roman"/>
          <w:sz w:val="14"/>
          <w:szCs w:val="14"/>
          <w:color w:val="auto"/>
        </w:rPr>
      </w:pPr>
    </w:p>
    <w:p>
      <w:pPr>
        <w:ind w:left="1420" w:right="719" w:hanging="267"/>
        <w:spacing w:after="0" w:line="292" w:lineRule="auto"/>
        <w:tabs>
          <w:tab w:leader="none" w:pos="14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various risks related to governmental inquiries, regulatory actions, and whistleblower and other lawsuits, which may not be entirely covered by insurance;</w:t>
      </w:r>
    </w:p>
    <w:p>
      <w:pPr>
        <w:spacing w:after="0" w:line="37" w:lineRule="exact"/>
        <w:rPr>
          <w:rFonts w:ascii="Times New Roman" w:cs="Times New Roman" w:eastAsia="Times New Roman" w:hAnsi="Times New Roman"/>
          <w:sz w:val="14"/>
          <w:szCs w:val="14"/>
          <w:color w:val="auto"/>
        </w:rPr>
      </w:pPr>
    </w:p>
    <w:p>
      <w:pPr>
        <w:ind w:left="1420" w:right="759" w:hanging="267"/>
        <w:spacing w:after="0" w:line="292" w:lineRule="auto"/>
        <w:tabs>
          <w:tab w:leader="none" w:pos="14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current insurance program, which may expose us to unexpected costs, particularly if we incur losses not covered by our insurance or if claims or losses differ from our estimates;</w:t>
      </w:r>
    </w:p>
    <w:p>
      <w:pPr>
        <w:spacing w:after="0" w:line="37" w:lineRule="exact"/>
        <w:rPr>
          <w:rFonts w:ascii="Times New Roman" w:cs="Times New Roman" w:eastAsia="Times New Roman" w:hAnsi="Times New Roman"/>
          <w:sz w:val="14"/>
          <w:szCs w:val="14"/>
          <w:color w:val="auto"/>
        </w:rPr>
      </w:pPr>
    </w:p>
    <w:p>
      <w:pPr>
        <w:ind w:left="1420" w:right="759" w:hanging="267"/>
        <w:spacing w:after="0" w:line="292" w:lineRule="auto"/>
        <w:tabs>
          <w:tab w:leader="none" w:pos="14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factors outside of our control, including those listed, which have required and could in the future require us to record an asset impairment of goodwill;</w:t>
      </w:r>
    </w:p>
    <w:p>
      <w:pPr>
        <w:spacing w:after="0" w:line="37" w:lineRule="exact"/>
        <w:rPr>
          <w:rFonts w:ascii="Times New Roman" w:cs="Times New Roman" w:eastAsia="Times New Roman" w:hAnsi="Times New Roman"/>
          <w:sz w:val="14"/>
          <w:szCs w:val="14"/>
          <w:color w:val="auto"/>
        </w:rPr>
      </w:pPr>
    </w:p>
    <w:p>
      <w:pPr>
        <w:ind w:left="1420" w:hanging="267"/>
        <w:spacing w:after="0"/>
        <w:tabs>
          <w:tab w:leader="none" w:pos="14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pandemic, epidemic, or outbreak of an infectious disease;</w:t>
      </w:r>
    </w:p>
    <w:p>
      <w:pPr>
        <w:spacing w:after="0" w:line="96" w:lineRule="exact"/>
        <w:rPr>
          <w:rFonts w:ascii="Times New Roman" w:cs="Times New Roman" w:eastAsia="Times New Roman" w:hAnsi="Times New Roman"/>
          <w:sz w:val="14"/>
          <w:szCs w:val="14"/>
          <w:color w:val="auto"/>
        </w:rPr>
      </w:pPr>
    </w:p>
    <w:p>
      <w:pPr>
        <w:ind w:left="1420" w:right="799" w:hanging="267"/>
        <w:spacing w:after="0" w:line="292" w:lineRule="auto"/>
        <w:tabs>
          <w:tab w:leader="none" w:pos="14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inclement weather, natural disasters, acts of terrorism, riots, civil insurrection or social unrest, looting, protests, strikes, or street demonstrations;</w:t>
      </w:r>
    </w:p>
    <w:p>
      <w:pPr>
        <w:spacing w:after="0" w:line="37" w:lineRule="exact"/>
        <w:rPr>
          <w:rFonts w:ascii="Times New Roman" w:cs="Times New Roman" w:eastAsia="Times New Roman" w:hAnsi="Times New Roman"/>
          <w:sz w:val="14"/>
          <w:szCs w:val="14"/>
          <w:color w:val="auto"/>
        </w:rPr>
      </w:pPr>
    </w:p>
    <w:p>
      <w:pPr>
        <w:ind w:left="1420" w:hanging="267"/>
        <w:spacing w:after="0"/>
        <w:tabs>
          <w:tab w:leader="none" w:pos="14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inability to adequately protect our intellectual property rights;</w:t>
      </w:r>
    </w:p>
    <w:p>
      <w:pPr>
        <w:spacing w:after="0" w:line="96" w:lineRule="exact"/>
        <w:rPr>
          <w:rFonts w:ascii="Times New Roman" w:cs="Times New Roman" w:eastAsia="Times New Roman" w:hAnsi="Times New Roman"/>
          <w:sz w:val="14"/>
          <w:szCs w:val="14"/>
          <w:color w:val="auto"/>
        </w:rPr>
      </w:pPr>
    </w:p>
    <w:p>
      <w:pPr>
        <w:ind w:left="1420" w:hanging="267"/>
        <w:spacing w:after="0"/>
        <w:tabs>
          <w:tab w:leader="none" w:pos="14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our compliance with our regulatory framework;</w:t>
      </w:r>
    </w:p>
    <w:p>
      <w:pPr>
        <w:spacing w:after="0" w:line="96" w:lineRule="exact"/>
        <w:rPr>
          <w:rFonts w:ascii="Times New Roman" w:cs="Times New Roman" w:eastAsia="Times New Roman" w:hAnsi="Times New Roman"/>
          <w:sz w:val="14"/>
          <w:szCs w:val="14"/>
          <w:color w:val="auto"/>
        </w:rPr>
      </w:pPr>
    </w:p>
    <w:p>
      <w:pPr>
        <w:ind w:left="1420" w:hanging="267"/>
        <w:spacing w:after="0"/>
        <w:tabs>
          <w:tab w:leader="none" w:pos="14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significant interests of KKR Stockholder may conflict with our stockholders’ interests in the future;</w:t>
      </w:r>
    </w:p>
    <w:p>
      <w:pPr>
        <w:spacing w:after="0" w:line="96" w:lineRule="exact"/>
        <w:rPr>
          <w:rFonts w:ascii="Times New Roman" w:cs="Times New Roman" w:eastAsia="Times New Roman" w:hAnsi="Times New Roman"/>
          <w:sz w:val="14"/>
          <w:szCs w:val="14"/>
          <w:color w:val="auto"/>
        </w:rPr>
      </w:pPr>
    </w:p>
    <w:p>
      <w:pPr>
        <w:ind w:left="1420" w:hanging="267"/>
        <w:spacing w:after="0"/>
        <w:tabs>
          <w:tab w:leader="none" w:pos="14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substantial indebtedness;</w:t>
      </w:r>
    </w:p>
    <w:p>
      <w:pPr>
        <w:spacing w:after="0" w:line="96" w:lineRule="exact"/>
        <w:rPr>
          <w:rFonts w:ascii="Times New Roman" w:cs="Times New Roman" w:eastAsia="Times New Roman" w:hAnsi="Times New Roman"/>
          <w:sz w:val="14"/>
          <w:szCs w:val="14"/>
          <w:color w:val="auto"/>
        </w:rPr>
      </w:pPr>
    </w:p>
    <w:p>
      <w:pPr>
        <w:ind w:left="1420" w:right="739" w:hanging="267"/>
        <w:spacing w:after="0" w:line="274" w:lineRule="auto"/>
        <w:tabs>
          <w:tab w:leader="none" w:pos="14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significant changes in tax or trade policies, tariffs, or trade relations between the United States and other countries, such as the imposition of unilateral tariffs on imported products, including impacts on imported drug products, which could result in supply chain disruptions and significant increases in costs; and</w:t>
      </w:r>
    </w:p>
    <w:p>
      <w:pPr>
        <w:spacing w:after="0" w:line="50" w:lineRule="exact"/>
        <w:rPr>
          <w:rFonts w:ascii="Times New Roman" w:cs="Times New Roman" w:eastAsia="Times New Roman" w:hAnsi="Times New Roman"/>
          <w:sz w:val="14"/>
          <w:szCs w:val="14"/>
          <w:color w:val="auto"/>
        </w:rPr>
      </w:pPr>
    </w:p>
    <w:p>
      <w:pPr>
        <w:ind w:left="1420" w:hanging="267"/>
        <w:spacing w:after="0"/>
        <w:tabs>
          <w:tab w:leader="none" w:pos="14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and frequency of our stock repurchases may fluctuate.</w:t>
      </w:r>
    </w:p>
    <w:p>
      <w:pPr>
        <w:spacing w:after="0" w:line="97" w:lineRule="exact"/>
        <w:rPr>
          <w:sz w:val="20"/>
          <w:szCs w:val="20"/>
          <w:color w:val="auto"/>
        </w:rPr>
      </w:pPr>
    </w:p>
    <w:p>
      <w:pPr>
        <w:ind w:left="640" w:right="679" w:firstLine="551"/>
        <w:spacing w:after="0" w:line="258" w:lineRule="auto"/>
        <w:rPr>
          <w:sz w:val="20"/>
          <w:szCs w:val="20"/>
          <w:color w:val="auto"/>
        </w:rPr>
      </w:pPr>
      <w:r>
        <w:rPr>
          <w:rFonts w:ascii="Times New Roman" w:cs="Times New Roman" w:eastAsia="Times New Roman" w:hAnsi="Times New Roman"/>
          <w:sz w:val="14"/>
          <w:szCs w:val="14"/>
          <w:color w:val="auto"/>
        </w:rPr>
        <w:t>Because forward-looking statements relate to the future, they are subject to inherent uncertainties, risks and changes in circumstances that are difficult to predict and many of which are outside of our control. If any of these risks materialize, or if any of our assumptions underlying forward-looking statements prove incorrect, actual results and developments may differ materially from those made in or suggested by the forward-looking statements contained in this Form 10-Q. Important factors that could cause our actual results and financial condition to differ materially from those indicated in the forward-looking statements include, among others, those set forth in Item 1A, “Risk Factors,” of Part I of our Annual Report on Form 10-K for the year ended December 31, 2025 (our “Form 10-K”) filed with the U.S. Securities and Exchange Commission (the “SEC”), as supplemented by Part II, Item 1A, “Risk Factors,” of this Form 10-Q and our other filings with the SEC. Although we have attempted to identify important risk factors, there may be other risk factors not presently known to us or that we presently believe are not material that could cause actual results and developments to differ materially from those made in or suggested by the forward-looking statements contained in this Form 10-Q. We caution you against relying on any forward-looking statements, which should also be read in conjunction with the other cautionary statements that are included elsewhere in this Form 10-Q. Any forward-looking statement made by us in this Form 10-Q speaks only as of the date hereof. We undertake no obligation to publicly update or to revise any forward-looking statement, whether as a result of new information, future developments or otherwise, except as may be required by law.</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4"/>
          <w:szCs w:val="14"/>
          <w:b w:val="1"/>
          <w:bCs w:val="1"/>
          <w:color w:val="auto"/>
        </w:rPr>
        <w:t>PART I—FINANCIAL INFORMATION</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Item 1. Financial Statements.</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BrightSpring Health Services,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Balance Sheets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(In thousands, except share and per share data)</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(Unaudited)</w:t>
      </w:r>
    </w:p>
    <w:p>
      <w:pPr>
        <w:spacing w:after="0" w:line="164" w:lineRule="exact"/>
        <w:rPr>
          <w:sz w:val="20"/>
          <w:szCs w:val="20"/>
          <w:color w:val="auto"/>
        </w:rPr>
      </w:pPr>
    </w:p>
    <w:tbl>
      <w:tblPr>
        <w:tblLayout w:type="fixed"/>
        <w:tblInd w:w="64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5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September 30, 2026</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December 31, 2025</w:t>
            </w:r>
          </w:p>
        </w:tc>
      </w:tr>
      <w:tr>
        <w:trPr>
          <w:trHeight w:val="152"/>
        </w:trPr>
        <w:tc>
          <w:tcPr>
            <w:tcW w:w="20" w:type="dxa"/>
            <w:vAlign w:val="bottom"/>
          </w:tcPr>
          <w:p>
            <w:pPr>
              <w:spacing w:after="0"/>
              <w:rPr>
                <w:sz w:val="13"/>
                <w:szCs w:val="13"/>
                <w:color w:val="auto"/>
              </w:rPr>
            </w:pPr>
          </w:p>
        </w:tc>
        <w:tc>
          <w:tcPr>
            <w:tcW w:w="5320" w:type="dxa"/>
            <w:vAlign w:val="bottom"/>
            <w:shd w:val="clear" w:color="auto" w:fill="CFF0FC"/>
          </w:tcPr>
          <w:p>
            <w:pPr>
              <w:spacing w:after="0" w:line="152" w:lineRule="exact"/>
              <w:rPr>
                <w:sz w:val="20"/>
                <w:szCs w:val="20"/>
                <w:color w:val="auto"/>
              </w:rPr>
            </w:pPr>
            <w:r>
              <w:rPr>
                <w:rFonts w:ascii="Times New Roman" w:cs="Times New Roman" w:eastAsia="Times New Roman" w:hAnsi="Times New Roman"/>
                <w:sz w:val="14"/>
                <w:szCs w:val="14"/>
                <w:b w:val="1"/>
                <w:bCs w:val="1"/>
                <w:color w:val="auto"/>
              </w:rPr>
              <w:t>Assets</w:t>
            </w:r>
          </w:p>
        </w:tc>
        <w:tc>
          <w:tcPr>
            <w:tcW w:w="20" w:type="dxa"/>
            <w:vAlign w:val="bottom"/>
            <w:shd w:val="clear" w:color="auto" w:fill="CFF0FC"/>
          </w:tcPr>
          <w:p>
            <w:pPr>
              <w:spacing w:after="0"/>
              <w:rPr>
                <w:sz w:val="13"/>
                <w:szCs w:val="13"/>
                <w:color w:val="auto"/>
              </w:rPr>
            </w:pPr>
          </w:p>
        </w:tc>
        <w:tc>
          <w:tcPr>
            <w:tcW w:w="260" w:type="dxa"/>
            <w:vAlign w:val="bottom"/>
            <w:tcBorders>
              <w:top w:val="single" w:sz="8" w:color="auto"/>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0" w:type="dxa"/>
            <w:vAlign w:val="bottom"/>
            <w:tcBorders>
              <w:top w:val="single" w:sz="8" w:color="auto"/>
            </w:tcBorders>
            <w:shd w:val="clear" w:color="auto" w:fill="CFF0FC"/>
          </w:tcPr>
          <w:p>
            <w:pPr>
              <w:spacing w:after="0"/>
              <w:rPr>
                <w:sz w:val="13"/>
                <w:szCs w:val="13"/>
                <w:color w:val="auto"/>
              </w:rPr>
            </w:pPr>
          </w:p>
        </w:tc>
        <w:tc>
          <w:tcPr>
            <w:tcW w:w="1020" w:type="dxa"/>
            <w:vAlign w:val="bottom"/>
            <w:tcBorders>
              <w:top w:val="single" w:sz="8" w:color="auto"/>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r>
      <w:tr>
        <w:trPr>
          <w:trHeight w:val="161"/>
        </w:trPr>
        <w:tc>
          <w:tcPr>
            <w:tcW w:w="20" w:type="dxa"/>
            <w:vAlign w:val="bottom"/>
          </w:tcPr>
          <w:p>
            <w:pPr>
              <w:spacing w:after="0"/>
              <w:rPr>
                <w:sz w:val="14"/>
                <w:szCs w:val="14"/>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Current assets:</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53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717,840</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88,370</w:t>
            </w:r>
          </w:p>
        </w:tc>
        <w:tc>
          <w:tcPr>
            <w:tcW w:w="80" w:type="dxa"/>
            <w:vAlign w:val="bottom"/>
            <w:shd w:val="clear" w:color="auto" w:fill="CFF0FC"/>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53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Accounts receivable, net of allowance for credit losses</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1,216,377</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989,719</w:t>
            </w:r>
          </w:p>
        </w:tc>
        <w:tc>
          <w:tcPr>
            <w:tcW w:w="8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53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Inventories</w:t>
            </w:r>
          </w:p>
        </w:tc>
        <w:tc>
          <w:tcPr>
            <w:tcW w:w="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671,590</w:t>
            </w:r>
          </w:p>
        </w:tc>
        <w:tc>
          <w:tcPr>
            <w:tcW w:w="1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815,180</w:t>
            </w:r>
          </w:p>
        </w:tc>
        <w:tc>
          <w:tcPr>
            <w:tcW w:w="80" w:type="dxa"/>
            <w:vAlign w:val="bottom"/>
            <w:shd w:val="clear" w:color="auto" w:fill="CFF0FC"/>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53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159,950</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118,592</w:t>
            </w:r>
          </w:p>
        </w:tc>
        <w:tc>
          <w:tcPr>
            <w:tcW w:w="8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53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Current assets held for sale</w:t>
            </w:r>
          </w:p>
        </w:tc>
        <w:tc>
          <w:tcPr>
            <w:tcW w:w="2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882,189</w:t>
            </w:r>
          </w:p>
        </w:tc>
        <w:tc>
          <w:tcPr>
            <w:tcW w:w="80" w:type="dxa"/>
            <w:vAlign w:val="bottom"/>
            <w:tcBorders>
              <w:bottom w:val="single" w:sz="8" w:color="CFF0FC"/>
            </w:tcBorders>
            <w:shd w:val="clear" w:color="auto" w:fill="CFF0FC"/>
          </w:tcPr>
          <w:p>
            <w:pPr>
              <w:spacing w:after="0"/>
              <w:rPr>
                <w:sz w:val="14"/>
                <w:szCs w:val="14"/>
                <w:color w:val="auto"/>
              </w:rPr>
            </w:pPr>
          </w:p>
        </w:tc>
      </w:tr>
      <w:tr>
        <w:trPr>
          <w:trHeight w:val="152"/>
        </w:trPr>
        <w:tc>
          <w:tcPr>
            <w:tcW w:w="20" w:type="dxa"/>
            <w:vAlign w:val="bottom"/>
          </w:tcPr>
          <w:p>
            <w:pPr>
              <w:spacing w:after="0"/>
              <w:rPr>
                <w:sz w:val="13"/>
                <w:szCs w:val="13"/>
                <w:color w:val="auto"/>
              </w:rPr>
            </w:pPr>
          </w:p>
        </w:tc>
        <w:tc>
          <w:tcPr>
            <w:tcW w:w="5320" w:type="dxa"/>
            <w:vAlign w:val="bottom"/>
          </w:tcPr>
          <w:p>
            <w:pPr>
              <w:ind w:left="400"/>
              <w:spacing w:after="0" w:line="152" w:lineRule="exact"/>
              <w:rPr>
                <w:sz w:val="20"/>
                <w:szCs w:val="20"/>
                <w:color w:val="auto"/>
              </w:rPr>
            </w:pPr>
            <w:r>
              <w:rPr>
                <w:rFonts w:ascii="Times New Roman" w:cs="Times New Roman" w:eastAsia="Times New Roman" w:hAnsi="Times New Roman"/>
                <w:sz w:val="14"/>
                <w:szCs w:val="14"/>
                <w:b w:val="1"/>
                <w:bCs w:val="1"/>
                <w:color w:val="auto"/>
              </w:rPr>
              <w:t>Total current assets</w:t>
            </w:r>
          </w:p>
        </w:tc>
        <w:tc>
          <w:tcPr>
            <w:tcW w:w="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rPr>
              <w:t>2,765,757</w:t>
            </w:r>
          </w:p>
        </w:tc>
        <w:tc>
          <w:tcPr>
            <w:tcW w:w="18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rPr>
              <w:t>2,894,050</w:t>
            </w:r>
          </w:p>
        </w:tc>
        <w:tc>
          <w:tcPr>
            <w:tcW w:w="80" w:type="dxa"/>
            <w:vAlign w:val="bottom"/>
          </w:tcPr>
          <w:p>
            <w:pPr>
              <w:spacing w:after="0"/>
              <w:rPr>
                <w:sz w:val="13"/>
                <w:szCs w:val="13"/>
                <w:color w:val="auto"/>
              </w:rPr>
            </w:pPr>
          </w:p>
        </w:tc>
      </w:tr>
      <w:tr>
        <w:trPr>
          <w:trHeight w:val="135"/>
        </w:trPr>
        <w:tc>
          <w:tcPr>
            <w:tcW w:w="20" w:type="dxa"/>
            <w:vAlign w:val="bottom"/>
          </w:tcPr>
          <w:p>
            <w:pPr>
              <w:spacing w:after="0"/>
              <w:rPr>
                <w:sz w:val="11"/>
                <w:szCs w:val="11"/>
                <w:color w:val="auto"/>
              </w:rPr>
            </w:pPr>
          </w:p>
        </w:tc>
        <w:tc>
          <w:tcPr>
            <w:tcW w:w="532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4"/>
                <w:szCs w:val="14"/>
                <w:color w:val="auto"/>
              </w:rPr>
              <w:t>Property and equipment, net of accumulated depreciation of $419,016 and $404,878 at</w:t>
            </w:r>
          </w:p>
        </w:tc>
        <w:tc>
          <w:tcPr>
            <w:tcW w:w="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4"/>
                <w:szCs w:val="14"/>
                <w:color w:val="auto"/>
              </w:rPr>
              <w:t>213,530</w:t>
            </w:r>
          </w:p>
        </w:tc>
        <w:tc>
          <w:tcPr>
            <w:tcW w:w="1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0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4"/>
                <w:szCs w:val="14"/>
                <w:color w:val="auto"/>
              </w:rPr>
              <w:t>204,689</w:t>
            </w:r>
          </w:p>
        </w:tc>
        <w:tc>
          <w:tcPr>
            <w:tcW w:w="80" w:type="dxa"/>
            <w:vAlign w:val="bottom"/>
            <w:shd w:val="clear" w:color="auto" w:fill="CFF0FC"/>
          </w:tcPr>
          <w:p>
            <w:pPr>
              <w:spacing w:after="0"/>
              <w:rPr>
                <w:sz w:val="11"/>
                <w:szCs w:val="11"/>
                <w:color w:val="auto"/>
              </w:rPr>
            </w:pPr>
          </w:p>
        </w:tc>
      </w:tr>
      <w:tr>
        <w:trPr>
          <w:trHeight w:val="178"/>
        </w:trPr>
        <w:tc>
          <w:tcPr>
            <w:tcW w:w="20" w:type="dxa"/>
            <w:vAlign w:val="bottom"/>
          </w:tcPr>
          <w:p>
            <w:pPr>
              <w:spacing w:after="0"/>
              <w:rPr>
                <w:sz w:val="15"/>
                <w:szCs w:val="15"/>
                <w:color w:val="auto"/>
              </w:rPr>
            </w:pPr>
          </w:p>
        </w:tc>
        <w:tc>
          <w:tcPr>
            <w:tcW w:w="53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September 30, 2026 and December 31, 2025, respectively</w:t>
            </w:r>
          </w:p>
        </w:tc>
        <w:tc>
          <w:tcPr>
            <w:tcW w:w="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61"/>
        </w:trPr>
        <w:tc>
          <w:tcPr>
            <w:tcW w:w="20" w:type="dxa"/>
            <w:vAlign w:val="bottom"/>
          </w:tcPr>
          <w:p>
            <w:pPr>
              <w:spacing w:after="0"/>
              <w:rPr>
                <w:sz w:val="14"/>
                <w:szCs w:val="14"/>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4"/>
                <w:szCs w:val="14"/>
                <w:color w:val="auto"/>
              </w:rPr>
              <w:t>Goodwill</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2,537,128</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2,545,673</w:t>
            </w:r>
          </w:p>
        </w:tc>
        <w:tc>
          <w:tcPr>
            <w:tcW w:w="8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Intangible assets, net of accumulated amortization</w:t>
            </w:r>
          </w:p>
        </w:tc>
        <w:tc>
          <w:tcPr>
            <w:tcW w:w="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491,661</w:t>
            </w:r>
          </w:p>
        </w:tc>
        <w:tc>
          <w:tcPr>
            <w:tcW w:w="1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557,555</w:t>
            </w:r>
          </w:p>
        </w:tc>
        <w:tc>
          <w:tcPr>
            <w:tcW w:w="80" w:type="dxa"/>
            <w:vAlign w:val="bottom"/>
            <w:shd w:val="clear" w:color="auto" w:fill="CFF0FC"/>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4"/>
                <w:szCs w:val="14"/>
                <w:color w:val="auto"/>
              </w:rPr>
              <w:t>Operating lease right-of-use assets, net</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169,977</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171,632</w:t>
            </w:r>
          </w:p>
        </w:tc>
        <w:tc>
          <w:tcPr>
            <w:tcW w:w="8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Other assets</w:t>
            </w:r>
          </w:p>
        </w:tc>
        <w:tc>
          <w:tcPr>
            <w:tcW w:w="20" w:type="dxa"/>
            <w:vAlign w:val="bottom"/>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88,568</w:t>
            </w:r>
          </w:p>
        </w:tc>
        <w:tc>
          <w:tcPr>
            <w:tcW w:w="180" w:type="dxa"/>
            <w:vAlign w:val="bottom"/>
            <w:shd w:val="clear" w:color="auto" w:fill="CFF0FC"/>
          </w:tcPr>
          <w:p>
            <w:pPr>
              <w:spacing w:after="0"/>
              <w:rPr>
                <w:sz w:val="14"/>
                <w:szCs w:val="14"/>
                <w:color w:val="auto"/>
              </w:rPr>
            </w:pPr>
          </w:p>
        </w:tc>
        <w:tc>
          <w:tcPr>
            <w:tcW w:w="6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39,712</w:t>
            </w:r>
          </w:p>
        </w:tc>
        <w:tc>
          <w:tcPr>
            <w:tcW w:w="80" w:type="dxa"/>
            <w:vAlign w:val="bottom"/>
            <w:shd w:val="clear" w:color="auto" w:fill="CFF0FC"/>
          </w:tcPr>
          <w:p>
            <w:pPr>
              <w:spacing w:after="0"/>
              <w:rPr>
                <w:sz w:val="14"/>
                <w:szCs w:val="14"/>
                <w:color w:val="auto"/>
              </w:rPr>
            </w:pPr>
          </w:p>
        </w:tc>
      </w:tr>
      <w:tr>
        <w:trPr>
          <w:trHeight w:val="152"/>
        </w:trPr>
        <w:tc>
          <w:tcPr>
            <w:tcW w:w="20" w:type="dxa"/>
            <w:vAlign w:val="bottom"/>
          </w:tcPr>
          <w:p>
            <w:pPr>
              <w:spacing w:after="0"/>
              <w:rPr>
                <w:sz w:val="13"/>
                <w:szCs w:val="13"/>
                <w:color w:val="auto"/>
              </w:rPr>
            </w:pPr>
          </w:p>
        </w:tc>
        <w:tc>
          <w:tcPr>
            <w:tcW w:w="5320" w:type="dxa"/>
            <w:vAlign w:val="bottom"/>
          </w:tcPr>
          <w:p>
            <w:pPr>
              <w:ind w:left="400"/>
              <w:spacing w:after="0" w:line="152" w:lineRule="exact"/>
              <w:rPr>
                <w:sz w:val="20"/>
                <w:szCs w:val="20"/>
                <w:color w:val="auto"/>
              </w:rPr>
            </w:pPr>
            <w:r>
              <w:rPr>
                <w:rFonts w:ascii="Times New Roman" w:cs="Times New Roman" w:eastAsia="Times New Roman" w:hAnsi="Times New Roman"/>
                <w:sz w:val="14"/>
                <w:szCs w:val="14"/>
                <w:b w:val="1"/>
                <w:bCs w:val="1"/>
                <w:color w:val="auto"/>
              </w:rPr>
              <w:t>Total assets</w:t>
            </w:r>
          </w:p>
        </w:tc>
        <w:tc>
          <w:tcPr>
            <w:tcW w:w="20" w:type="dxa"/>
            <w:vAlign w:val="bottom"/>
          </w:tcPr>
          <w:p>
            <w:pPr>
              <w:spacing w:after="0"/>
              <w:rPr>
                <w:sz w:val="13"/>
                <w:szCs w:val="13"/>
                <w:color w:val="auto"/>
              </w:rPr>
            </w:pPr>
          </w:p>
        </w:tc>
        <w:tc>
          <w:tcPr>
            <w:tcW w:w="26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5"/>
                <w:szCs w:val="5"/>
                <w:color w:val="auto"/>
                <w:w w:val="78"/>
              </w:rPr>
              <w:t>$</w:t>
            </w:r>
          </w:p>
        </w:tc>
        <w:tc>
          <w:tcPr>
            <w:tcW w:w="780" w:type="dxa"/>
            <w:vAlign w:val="bottom"/>
            <w:tcBorders>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rPr>
              <w:t>6,266,621</w:t>
            </w:r>
          </w:p>
        </w:tc>
        <w:tc>
          <w:tcPr>
            <w:tcW w:w="180" w:type="dxa"/>
            <w:vAlign w:val="bottom"/>
          </w:tcPr>
          <w:p>
            <w:pPr>
              <w:spacing w:after="0"/>
              <w:rPr>
                <w:sz w:val="13"/>
                <w:szCs w:val="13"/>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rPr>
              <w:t>6,413,311</w:t>
            </w:r>
          </w:p>
        </w:tc>
        <w:tc>
          <w:tcPr>
            <w:tcW w:w="8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5320" w:type="dxa"/>
            <w:vAlign w:val="bottom"/>
            <w:shd w:val="clear" w:color="auto" w:fill="CFF0FC"/>
          </w:tcPr>
          <w:p>
            <w:pPr>
              <w:spacing w:after="0" w:line="133" w:lineRule="exact"/>
              <w:rPr>
                <w:sz w:val="20"/>
                <w:szCs w:val="20"/>
                <w:color w:val="auto"/>
              </w:rPr>
            </w:pPr>
            <w:r>
              <w:rPr>
                <w:rFonts w:ascii="Times New Roman" w:cs="Times New Roman" w:eastAsia="Times New Roman" w:hAnsi="Times New Roman"/>
                <w:sz w:val="14"/>
                <w:szCs w:val="14"/>
                <w:b w:val="1"/>
                <w:bCs w:val="1"/>
                <w:color w:val="auto"/>
              </w:rPr>
              <w:t>Liabilities, Redeemable Noncontrolling Interests, and Equity</w:t>
            </w:r>
          </w:p>
        </w:tc>
        <w:tc>
          <w:tcPr>
            <w:tcW w:w="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Current liabilities:</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53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Trade accounts payable</w:t>
            </w:r>
          </w:p>
        </w:tc>
        <w:tc>
          <w:tcPr>
            <w:tcW w:w="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1,232,288</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1,217,946</w:t>
            </w:r>
          </w:p>
        </w:tc>
        <w:tc>
          <w:tcPr>
            <w:tcW w:w="80" w:type="dxa"/>
            <w:vAlign w:val="bottom"/>
            <w:shd w:val="clear" w:color="auto" w:fill="CFF0FC"/>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53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Accrued expenses</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390,967</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333,024</w:t>
            </w:r>
          </w:p>
        </w:tc>
        <w:tc>
          <w:tcPr>
            <w:tcW w:w="8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53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Current portion of obligations under operating leases</w:t>
            </w:r>
          </w:p>
        </w:tc>
        <w:tc>
          <w:tcPr>
            <w:tcW w:w="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46,296</w:t>
            </w:r>
          </w:p>
        </w:tc>
        <w:tc>
          <w:tcPr>
            <w:tcW w:w="1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42,936</w:t>
            </w:r>
          </w:p>
        </w:tc>
        <w:tc>
          <w:tcPr>
            <w:tcW w:w="80" w:type="dxa"/>
            <w:vAlign w:val="bottom"/>
            <w:shd w:val="clear" w:color="auto" w:fill="CFF0FC"/>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53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Current portion of obligations under financing leases</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5,988</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6,794</w:t>
            </w:r>
          </w:p>
        </w:tc>
        <w:tc>
          <w:tcPr>
            <w:tcW w:w="8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53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Current portion of long-term debt</w:t>
            </w:r>
          </w:p>
        </w:tc>
        <w:tc>
          <w:tcPr>
            <w:tcW w:w="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35,277</w:t>
            </w:r>
          </w:p>
        </w:tc>
        <w:tc>
          <w:tcPr>
            <w:tcW w:w="1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52,340</w:t>
            </w:r>
          </w:p>
        </w:tc>
        <w:tc>
          <w:tcPr>
            <w:tcW w:w="80" w:type="dxa"/>
            <w:vAlign w:val="bottom"/>
            <w:shd w:val="clear" w:color="auto" w:fill="CFF0FC"/>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53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Current liabilities held for sale</w:t>
            </w:r>
          </w:p>
        </w:tc>
        <w:tc>
          <w:tcPr>
            <w:tcW w:w="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195,994</w:t>
            </w:r>
          </w:p>
        </w:tc>
        <w:tc>
          <w:tcPr>
            <w:tcW w:w="80" w:type="dxa"/>
            <w:vAlign w:val="bottom"/>
          </w:tcPr>
          <w:p>
            <w:pPr>
              <w:spacing w:after="0"/>
              <w:rPr>
                <w:sz w:val="14"/>
                <w:szCs w:val="14"/>
                <w:color w:val="auto"/>
              </w:rPr>
            </w:pPr>
          </w:p>
        </w:tc>
      </w:tr>
      <w:tr>
        <w:trPr>
          <w:trHeight w:val="152"/>
        </w:trPr>
        <w:tc>
          <w:tcPr>
            <w:tcW w:w="20" w:type="dxa"/>
            <w:vAlign w:val="bottom"/>
          </w:tcPr>
          <w:p>
            <w:pPr>
              <w:spacing w:after="0"/>
              <w:rPr>
                <w:sz w:val="13"/>
                <w:szCs w:val="13"/>
                <w:color w:val="auto"/>
              </w:rPr>
            </w:pPr>
          </w:p>
        </w:tc>
        <w:tc>
          <w:tcPr>
            <w:tcW w:w="5320" w:type="dxa"/>
            <w:vAlign w:val="bottom"/>
            <w:tcBorders>
              <w:bottom w:val="single" w:sz="8" w:color="CFF0FC"/>
            </w:tcBorders>
            <w:shd w:val="clear" w:color="auto" w:fill="CFF0FC"/>
          </w:tcPr>
          <w:p>
            <w:pPr>
              <w:ind w:left="400"/>
              <w:spacing w:after="0" w:line="152" w:lineRule="exact"/>
              <w:rPr>
                <w:sz w:val="20"/>
                <w:szCs w:val="20"/>
                <w:color w:val="auto"/>
              </w:rPr>
            </w:pPr>
            <w:r>
              <w:rPr>
                <w:rFonts w:ascii="Times New Roman" w:cs="Times New Roman" w:eastAsia="Times New Roman" w:hAnsi="Times New Roman"/>
                <w:sz w:val="14"/>
                <w:szCs w:val="14"/>
                <w:b w:val="1"/>
                <w:bCs w:val="1"/>
                <w:color w:val="auto"/>
              </w:rPr>
              <w:t>Total current liabilities</w:t>
            </w:r>
          </w:p>
        </w:tc>
        <w:tc>
          <w:tcPr>
            <w:tcW w:w="20" w:type="dxa"/>
            <w:vAlign w:val="bottom"/>
            <w:tcBorders>
              <w:bottom w:val="single" w:sz="8" w:color="CFF0FC"/>
            </w:tcBorders>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spacing w:after="0"/>
              <w:rPr>
                <w:sz w:val="13"/>
                <w:szCs w:val="13"/>
                <w:color w:val="auto"/>
              </w:rPr>
            </w:pPr>
          </w:p>
        </w:tc>
        <w:tc>
          <w:tcPr>
            <w:tcW w:w="780" w:type="dxa"/>
            <w:vAlign w:val="bottom"/>
            <w:tcBorders>
              <w:bottom w:val="single" w:sz="8" w:color="auto"/>
            </w:tcBorders>
            <w:shd w:val="clear" w:color="auto" w:fill="CFF0FC"/>
          </w:tcPr>
          <w:p>
            <w:pPr>
              <w:jc w:val="right"/>
              <w:spacing w:after="0" w:line="152" w:lineRule="exact"/>
              <w:rPr>
                <w:sz w:val="20"/>
                <w:szCs w:val="20"/>
                <w:color w:val="auto"/>
              </w:rPr>
            </w:pPr>
            <w:r>
              <w:rPr>
                <w:rFonts w:ascii="Times New Roman" w:cs="Times New Roman" w:eastAsia="Times New Roman" w:hAnsi="Times New Roman"/>
                <w:sz w:val="14"/>
                <w:szCs w:val="14"/>
                <w:color w:val="auto"/>
              </w:rPr>
              <w:t>1,710,816</w:t>
            </w:r>
          </w:p>
        </w:tc>
        <w:tc>
          <w:tcPr>
            <w:tcW w:w="180" w:type="dxa"/>
            <w:vAlign w:val="bottom"/>
            <w:tcBorders>
              <w:bottom w:val="single" w:sz="8" w:color="CFF0FC"/>
            </w:tcBorders>
            <w:shd w:val="clear" w:color="auto" w:fill="CFF0FC"/>
          </w:tcPr>
          <w:p>
            <w:pPr>
              <w:spacing w:after="0"/>
              <w:rPr>
                <w:sz w:val="13"/>
                <w:szCs w:val="13"/>
                <w:color w:val="auto"/>
              </w:rPr>
            </w:pPr>
          </w:p>
        </w:tc>
        <w:tc>
          <w:tcPr>
            <w:tcW w:w="60" w:type="dxa"/>
            <w:vAlign w:val="bottom"/>
            <w:tcBorders>
              <w:bottom w:val="single" w:sz="8" w:color="auto"/>
            </w:tcBorders>
            <w:shd w:val="clear" w:color="auto" w:fill="CFF0FC"/>
          </w:tcPr>
          <w:p>
            <w:pPr>
              <w:spacing w:after="0"/>
              <w:rPr>
                <w:sz w:val="13"/>
                <w:szCs w:val="13"/>
                <w:color w:val="auto"/>
              </w:rPr>
            </w:pPr>
          </w:p>
        </w:tc>
        <w:tc>
          <w:tcPr>
            <w:tcW w:w="1020" w:type="dxa"/>
            <w:vAlign w:val="bottom"/>
            <w:tcBorders>
              <w:bottom w:val="single" w:sz="8" w:color="auto"/>
            </w:tcBorders>
            <w:shd w:val="clear" w:color="auto" w:fill="CFF0FC"/>
          </w:tcPr>
          <w:p>
            <w:pPr>
              <w:jc w:val="right"/>
              <w:spacing w:after="0" w:line="152" w:lineRule="exact"/>
              <w:rPr>
                <w:sz w:val="20"/>
                <w:szCs w:val="20"/>
                <w:color w:val="auto"/>
              </w:rPr>
            </w:pPr>
            <w:r>
              <w:rPr>
                <w:rFonts w:ascii="Times New Roman" w:cs="Times New Roman" w:eastAsia="Times New Roman" w:hAnsi="Times New Roman"/>
                <w:sz w:val="14"/>
                <w:szCs w:val="14"/>
                <w:color w:val="auto"/>
              </w:rPr>
              <w:t>1,849,034</w:t>
            </w:r>
          </w:p>
        </w:tc>
        <w:tc>
          <w:tcPr>
            <w:tcW w:w="80" w:type="dxa"/>
            <w:vAlign w:val="bottom"/>
            <w:tcBorders>
              <w:bottom w:val="single" w:sz="8" w:color="CFF0FC"/>
            </w:tcBorders>
            <w:shd w:val="clear" w:color="auto" w:fill="CFF0FC"/>
          </w:tcPr>
          <w:p>
            <w:pPr>
              <w:spacing w:after="0"/>
              <w:rPr>
                <w:sz w:val="13"/>
                <w:szCs w:val="13"/>
                <w:color w:val="auto"/>
              </w:rPr>
            </w:pPr>
          </w:p>
        </w:tc>
      </w:tr>
      <w:tr>
        <w:trPr>
          <w:trHeight w:val="152"/>
        </w:trPr>
        <w:tc>
          <w:tcPr>
            <w:tcW w:w="20" w:type="dxa"/>
            <w:vAlign w:val="bottom"/>
          </w:tcPr>
          <w:p>
            <w:pPr>
              <w:spacing w:after="0"/>
              <w:rPr>
                <w:sz w:val="13"/>
                <w:szCs w:val="13"/>
                <w:color w:val="auto"/>
              </w:rPr>
            </w:pPr>
          </w:p>
        </w:tc>
        <w:tc>
          <w:tcPr>
            <w:tcW w:w="532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Obligations under operating leases, net of current portion</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133,569</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135,420</w:t>
            </w:r>
          </w:p>
        </w:tc>
        <w:tc>
          <w:tcPr>
            <w:tcW w:w="80" w:type="dxa"/>
            <w:vAlign w:val="bottom"/>
          </w:tcPr>
          <w:p>
            <w:pPr>
              <w:spacing w:after="0"/>
              <w:rPr>
                <w:sz w:val="13"/>
                <w:szCs w:val="13"/>
                <w:color w:val="auto"/>
              </w:rPr>
            </w:pPr>
          </w:p>
        </w:tc>
      </w:tr>
      <w:tr>
        <w:trPr>
          <w:trHeight w:val="161"/>
        </w:trPr>
        <w:tc>
          <w:tcPr>
            <w:tcW w:w="20" w:type="dxa"/>
            <w:vAlign w:val="bottom"/>
          </w:tcPr>
          <w:p>
            <w:pPr>
              <w:spacing w:after="0"/>
              <w:rPr>
                <w:sz w:val="14"/>
                <w:szCs w:val="14"/>
                <w:color w:val="auto"/>
              </w:rPr>
            </w:pPr>
          </w:p>
        </w:tc>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Obligations under financing leases, net of current portion</w:t>
            </w:r>
          </w:p>
        </w:tc>
        <w:tc>
          <w:tcPr>
            <w:tcW w:w="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11,072</w:t>
            </w:r>
          </w:p>
        </w:tc>
        <w:tc>
          <w:tcPr>
            <w:tcW w:w="1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14,544</w:t>
            </w:r>
          </w:p>
        </w:tc>
        <w:tc>
          <w:tcPr>
            <w:tcW w:w="80" w:type="dxa"/>
            <w:vAlign w:val="bottom"/>
            <w:shd w:val="clear" w:color="auto" w:fill="CFF0FC"/>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4"/>
                <w:szCs w:val="14"/>
                <w:color w:val="auto"/>
              </w:rPr>
              <w:t>Long-term debt, net of current portion</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2,146,779</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2,455,204</w:t>
            </w:r>
          </w:p>
        </w:tc>
        <w:tc>
          <w:tcPr>
            <w:tcW w:w="8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Deferred income taxes, net</w:t>
            </w:r>
          </w:p>
        </w:tc>
        <w:tc>
          <w:tcPr>
            <w:tcW w:w="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10,336</w:t>
            </w:r>
          </w:p>
        </w:tc>
        <w:tc>
          <w:tcPr>
            <w:tcW w:w="1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6,178</w:t>
            </w:r>
          </w:p>
        </w:tc>
        <w:tc>
          <w:tcPr>
            <w:tcW w:w="80" w:type="dxa"/>
            <w:vAlign w:val="bottom"/>
            <w:shd w:val="clear" w:color="auto" w:fill="CFF0FC"/>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53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color w:val="auto"/>
              </w:rPr>
              <w:t>Long-term liabilities</w:t>
            </w:r>
          </w:p>
        </w:tc>
        <w:tc>
          <w:tcPr>
            <w:tcW w:w="2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68,234</w:t>
            </w:r>
          </w:p>
        </w:tc>
        <w:tc>
          <w:tcPr>
            <w:tcW w:w="180" w:type="dxa"/>
            <w:vAlign w:val="bottom"/>
            <w:tcBorders>
              <w:bottom w:val="single" w:sz="8" w:color="CFF0FC"/>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66,565</w:t>
            </w:r>
          </w:p>
        </w:tc>
        <w:tc>
          <w:tcPr>
            <w:tcW w:w="80" w:type="dxa"/>
            <w:vAlign w:val="bottom"/>
            <w:tcBorders>
              <w:bottom w:val="single" w:sz="8" w:color="CFF0FC"/>
            </w:tcBorders>
          </w:tcPr>
          <w:p>
            <w:pPr>
              <w:spacing w:after="0"/>
              <w:rPr>
                <w:sz w:val="14"/>
                <w:szCs w:val="14"/>
                <w:color w:val="auto"/>
              </w:rPr>
            </w:pPr>
          </w:p>
        </w:tc>
      </w:tr>
      <w:tr>
        <w:trPr>
          <w:trHeight w:val="152"/>
        </w:trPr>
        <w:tc>
          <w:tcPr>
            <w:tcW w:w="20" w:type="dxa"/>
            <w:vAlign w:val="bottom"/>
          </w:tcPr>
          <w:p>
            <w:pPr>
              <w:spacing w:after="0"/>
              <w:rPr>
                <w:sz w:val="13"/>
                <w:szCs w:val="13"/>
                <w:color w:val="auto"/>
              </w:rPr>
            </w:pPr>
          </w:p>
        </w:tc>
        <w:tc>
          <w:tcPr>
            <w:tcW w:w="5320" w:type="dxa"/>
            <w:vAlign w:val="bottom"/>
            <w:tcBorders>
              <w:bottom w:val="single" w:sz="8" w:color="CFF0FC"/>
            </w:tcBorders>
            <w:shd w:val="clear" w:color="auto" w:fill="CFF0FC"/>
          </w:tcPr>
          <w:p>
            <w:pPr>
              <w:ind w:left="400"/>
              <w:spacing w:after="0" w:line="152" w:lineRule="exact"/>
              <w:rPr>
                <w:sz w:val="20"/>
                <w:szCs w:val="20"/>
                <w:color w:val="auto"/>
              </w:rPr>
            </w:pPr>
            <w:r>
              <w:rPr>
                <w:rFonts w:ascii="Times New Roman" w:cs="Times New Roman" w:eastAsia="Times New Roman" w:hAnsi="Times New Roman"/>
                <w:sz w:val="14"/>
                <w:szCs w:val="14"/>
                <w:b w:val="1"/>
                <w:bCs w:val="1"/>
                <w:color w:val="auto"/>
              </w:rPr>
              <w:t>Total liabilities</w:t>
            </w:r>
          </w:p>
        </w:tc>
        <w:tc>
          <w:tcPr>
            <w:tcW w:w="20" w:type="dxa"/>
            <w:vAlign w:val="bottom"/>
            <w:tcBorders>
              <w:bottom w:val="single" w:sz="8" w:color="CFF0FC"/>
            </w:tcBorders>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spacing w:after="0"/>
              <w:rPr>
                <w:sz w:val="13"/>
                <w:szCs w:val="13"/>
                <w:color w:val="auto"/>
              </w:rPr>
            </w:pPr>
          </w:p>
        </w:tc>
        <w:tc>
          <w:tcPr>
            <w:tcW w:w="780" w:type="dxa"/>
            <w:vAlign w:val="bottom"/>
            <w:tcBorders>
              <w:bottom w:val="single" w:sz="8" w:color="auto"/>
            </w:tcBorders>
            <w:shd w:val="clear" w:color="auto" w:fill="CFF0FC"/>
          </w:tcPr>
          <w:p>
            <w:pPr>
              <w:jc w:val="right"/>
              <w:spacing w:after="0" w:line="152" w:lineRule="exact"/>
              <w:rPr>
                <w:sz w:val="20"/>
                <w:szCs w:val="20"/>
                <w:color w:val="auto"/>
              </w:rPr>
            </w:pPr>
            <w:r>
              <w:rPr>
                <w:rFonts w:ascii="Times New Roman" w:cs="Times New Roman" w:eastAsia="Times New Roman" w:hAnsi="Times New Roman"/>
                <w:sz w:val="14"/>
                <w:szCs w:val="14"/>
                <w:color w:val="auto"/>
              </w:rPr>
              <w:t>4,080,806</w:t>
            </w:r>
          </w:p>
        </w:tc>
        <w:tc>
          <w:tcPr>
            <w:tcW w:w="180" w:type="dxa"/>
            <w:vAlign w:val="bottom"/>
            <w:tcBorders>
              <w:bottom w:val="single" w:sz="8" w:color="CFF0FC"/>
            </w:tcBorders>
            <w:shd w:val="clear" w:color="auto" w:fill="CFF0FC"/>
          </w:tcPr>
          <w:p>
            <w:pPr>
              <w:spacing w:after="0"/>
              <w:rPr>
                <w:sz w:val="13"/>
                <w:szCs w:val="13"/>
                <w:color w:val="auto"/>
              </w:rPr>
            </w:pPr>
          </w:p>
        </w:tc>
        <w:tc>
          <w:tcPr>
            <w:tcW w:w="60" w:type="dxa"/>
            <w:vAlign w:val="bottom"/>
            <w:tcBorders>
              <w:bottom w:val="single" w:sz="8" w:color="auto"/>
            </w:tcBorders>
            <w:shd w:val="clear" w:color="auto" w:fill="CFF0FC"/>
          </w:tcPr>
          <w:p>
            <w:pPr>
              <w:spacing w:after="0"/>
              <w:rPr>
                <w:sz w:val="13"/>
                <w:szCs w:val="13"/>
                <w:color w:val="auto"/>
              </w:rPr>
            </w:pPr>
          </w:p>
        </w:tc>
        <w:tc>
          <w:tcPr>
            <w:tcW w:w="1020" w:type="dxa"/>
            <w:vAlign w:val="bottom"/>
            <w:tcBorders>
              <w:bottom w:val="single" w:sz="8" w:color="auto"/>
            </w:tcBorders>
            <w:shd w:val="clear" w:color="auto" w:fill="CFF0FC"/>
          </w:tcPr>
          <w:p>
            <w:pPr>
              <w:jc w:val="right"/>
              <w:spacing w:after="0" w:line="152" w:lineRule="exact"/>
              <w:rPr>
                <w:sz w:val="20"/>
                <w:szCs w:val="20"/>
                <w:color w:val="auto"/>
              </w:rPr>
            </w:pPr>
            <w:r>
              <w:rPr>
                <w:rFonts w:ascii="Times New Roman" w:cs="Times New Roman" w:eastAsia="Times New Roman" w:hAnsi="Times New Roman"/>
                <w:sz w:val="14"/>
                <w:szCs w:val="14"/>
                <w:color w:val="auto"/>
              </w:rPr>
              <w:t>4,526,945</w:t>
            </w:r>
          </w:p>
        </w:tc>
        <w:tc>
          <w:tcPr>
            <w:tcW w:w="80" w:type="dxa"/>
            <w:vAlign w:val="bottom"/>
            <w:tcBorders>
              <w:bottom w:val="single" w:sz="8" w:color="CFF0FC"/>
            </w:tcBorders>
            <w:shd w:val="clear" w:color="auto" w:fill="CFF0FC"/>
          </w:tcPr>
          <w:p>
            <w:pPr>
              <w:spacing w:after="0"/>
              <w:rPr>
                <w:sz w:val="13"/>
                <w:szCs w:val="13"/>
                <w:color w:val="auto"/>
              </w:rPr>
            </w:pPr>
          </w:p>
        </w:tc>
      </w:tr>
      <w:tr>
        <w:trPr>
          <w:trHeight w:val="152"/>
        </w:trPr>
        <w:tc>
          <w:tcPr>
            <w:tcW w:w="20" w:type="dxa"/>
            <w:vAlign w:val="bottom"/>
          </w:tcPr>
          <w:p>
            <w:pPr>
              <w:spacing w:after="0"/>
              <w:rPr>
                <w:sz w:val="13"/>
                <w:szCs w:val="13"/>
                <w:color w:val="auto"/>
              </w:rPr>
            </w:pPr>
          </w:p>
        </w:tc>
        <w:tc>
          <w:tcPr>
            <w:tcW w:w="532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Redeemable noncontrolling interests</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9,200</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11,227</w:t>
            </w:r>
          </w:p>
        </w:tc>
        <w:tc>
          <w:tcPr>
            <w:tcW w:w="80" w:type="dxa"/>
            <w:vAlign w:val="bottom"/>
          </w:tcPr>
          <w:p>
            <w:pPr>
              <w:spacing w:after="0"/>
              <w:rPr>
                <w:sz w:val="13"/>
                <w:szCs w:val="13"/>
                <w:color w:val="auto"/>
              </w:rPr>
            </w:pPr>
          </w:p>
        </w:tc>
      </w:tr>
      <w:tr>
        <w:trPr>
          <w:trHeight w:val="161"/>
        </w:trPr>
        <w:tc>
          <w:tcPr>
            <w:tcW w:w="20" w:type="dxa"/>
            <w:vAlign w:val="bottom"/>
          </w:tcPr>
          <w:p>
            <w:pPr>
              <w:spacing w:after="0"/>
              <w:rPr>
                <w:sz w:val="14"/>
                <w:szCs w:val="14"/>
                <w:color w:val="auto"/>
              </w:rPr>
            </w:pPr>
          </w:p>
        </w:tc>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Shareholders’ equity:</w:t>
            </w:r>
          </w:p>
        </w:tc>
        <w:tc>
          <w:tcPr>
            <w:tcW w:w="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144"/>
        </w:trPr>
        <w:tc>
          <w:tcPr>
            <w:tcW w:w="20" w:type="dxa"/>
            <w:vAlign w:val="bottom"/>
          </w:tcPr>
          <w:p>
            <w:pPr>
              <w:spacing w:after="0"/>
              <w:rPr>
                <w:sz w:val="12"/>
                <w:szCs w:val="12"/>
                <w:color w:val="auto"/>
              </w:rPr>
            </w:pPr>
          </w:p>
        </w:tc>
        <w:tc>
          <w:tcPr>
            <w:tcW w:w="5320" w:type="dxa"/>
            <w:vAlign w:val="bottom"/>
          </w:tcPr>
          <w:p>
            <w:pPr>
              <w:ind w:left="120"/>
              <w:spacing w:after="0" w:line="144" w:lineRule="exact"/>
              <w:rPr>
                <w:sz w:val="20"/>
                <w:szCs w:val="20"/>
                <w:color w:val="auto"/>
              </w:rPr>
            </w:pPr>
            <w:r>
              <w:rPr>
                <w:rFonts w:ascii="Times New Roman" w:cs="Times New Roman" w:eastAsia="Times New Roman" w:hAnsi="Times New Roman"/>
                <w:sz w:val="14"/>
                <w:szCs w:val="14"/>
                <w:color w:val="auto"/>
              </w:rPr>
              <w:t>Common stock, $0.01 par value, 1,500,000,000 shares authorized, 198,814,320 and</w:t>
            </w:r>
          </w:p>
        </w:tc>
        <w:tc>
          <w:tcPr>
            <w:tcW w:w="28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1,988</w:t>
            </w:r>
          </w:p>
        </w:tc>
        <w:tc>
          <w:tcPr>
            <w:tcW w:w="24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1,921</w:t>
            </w:r>
          </w:p>
        </w:tc>
        <w:tc>
          <w:tcPr>
            <w:tcW w:w="8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5320" w:type="dxa"/>
            <w:vAlign w:val="bottom"/>
          </w:tcPr>
          <w:p>
            <w:pPr>
              <w:ind w:left="220"/>
              <w:spacing w:after="0"/>
              <w:rPr>
                <w:sz w:val="20"/>
                <w:szCs w:val="20"/>
                <w:color w:val="auto"/>
              </w:rPr>
            </w:pPr>
            <w:r>
              <w:rPr>
                <w:rFonts w:ascii="Times New Roman" w:cs="Times New Roman" w:eastAsia="Times New Roman" w:hAnsi="Times New Roman"/>
                <w:sz w:val="14"/>
                <w:szCs w:val="14"/>
                <w:color w:val="auto"/>
                <w:w w:val="99"/>
              </w:rPr>
              <w:t>192,124,125 shares issued and outstanding at September 30, 2026 and December 31, 2025,</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7"/>
        </w:trPr>
        <w:tc>
          <w:tcPr>
            <w:tcW w:w="20" w:type="dxa"/>
            <w:vAlign w:val="bottom"/>
          </w:tcPr>
          <w:p>
            <w:pPr>
              <w:spacing w:after="0"/>
              <w:rPr>
                <w:sz w:val="15"/>
                <w:szCs w:val="15"/>
                <w:color w:val="auto"/>
              </w:rPr>
            </w:pPr>
          </w:p>
        </w:tc>
        <w:tc>
          <w:tcPr>
            <w:tcW w:w="53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respectively</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46"/>
        </w:trPr>
        <w:tc>
          <w:tcPr>
            <w:tcW w:w="20" w:type="dxa"/>
            <w:vAlign w:val="bottom"/>
          </w:tcPr>
          <w:p>
            <w:pPr>
              <w:spacing w:after="0"/>
              <w:rPr>
                <w:sz w:val="12"/>
                <w:szCs w:val="12"/>
                <w:color w:val="auto"/>
              </w:rPr>
            </w:pPr>
          </w:p>
        </w:tc>
        <w:tc>
          <w:tcPr>
            <w:tcW w:w="5320" w:type="dxa"/>
            <w:vAlign w:val="bottom"/>
            <w:shd w:val="clear" w:color="auto" w:fill="CFF0FC"/>
          </w:tcPr>
          <w:p>
            <w:pPr>
              <w:ind w:left="120"/>
              <w:spacing w:after="0" w:line="146" w:lineRule="exact"/>
              <w:rPr>
                <w:sz w:val="20"/>
                <w:szCs w:val="20"/>
                <w:color w:val="auto"/>
              </w:rPr>
            </w:pPr>
            <w:r>
              <w:rPr>
                <w:rFonts w:ascii="Times New Roman" w:cs="Times New Roman" w:eastAsia="Times New Roman" w:hAnsi="Times New Roman"/>
                <w:sz w:val="14"/>
                <w:szCs w:val="14"/>
                <w:color w:val="auto"/>
              </w:rPr>
              <w:t>Preferred stock, $0.01 par value, 250,000,000 authorized, no shares issued and</w:t>
            </w:r>
          </w:p>
        </w:tc>
        <w:tc>
          <w:tcPr>
            <w:tcW w:w="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6"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100"/>
              <w:spacing w:after="0" w:line="146" w:lineRule="exact"/>
              <w:rPr>
                <w:sz w:val="20"/>
                <w:szCs w:val="20"/>
                <w:color w:val="auto"/>
              </w:rPr>
            </w:pPr>
            <w:r>
              <w:rPr>
                <w:rFonts w:ascii="Times New Roman" w:cs="Times New Roman" w:eastAsia="Times New Roman" w:hAnsi="Times New Roman"/>
                <w:sz w:val="14"/>
                <w:szCs w:val="14"/>
                <w:color w:val="auto"/>
              </w:rPr>
              <w:t>—</w:t>
            </w:r>
          </w:p>
        </w:tc>
      </w:tr>
      <w:tr>
        <w:trPr>
          <w:trHeight w:val="178"/>
        </w:trPr>
        <w:tc>
          <w:tcPr>
            <w:tcW w:w="20" w:type="dxa"/>
            <w:vAlign w:val="bottom"/>
          </w:tcPr>
          <w:p>
            <w:pPr>
              <w:spacing w:after="0"/>
              <w:rPr>
                <w:sz w:val="15"/>
                <w:szCs w:val="15"/>
                <w:color w:val="auto"/>
              </w:rPr>
            </w:pPr>
          </w:p>
        </w:tc>
        <w:tc>
          <w:tcPr>
            <w:tcW w:w="53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outstanding at September 30, 2026 and December 31, 2025</w:t>
            </w:r>
          </w:p>
        </w:tc>
        <w:tc>
          <w:tcPr>
            <w:tcW w:w="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61"/>
        </w:trPr>
        <w:tc>
          <w:tcPr>
            <w:tcW w:w="20" w:type="dxa"/>
            <w:vAlign w:val="bottom"/>
          </w:tcPr>
          <w:p>
            <w:pPr>
              <w:spacing w:after="0"/>
              <w:rPr>
                <w:sz w:val="14"/>
                <w:szCs w:val="14"/>
                <w:color w:val="auto"/>
              </w:rPr>
            </w:pPr>
          </w:p>
        </w:tc>
        <w:tc>
          <w:tcPr>
            <w:tcW w:w="53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2,021,881</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1,954,482</w:t>
            </w:r>
          </w:p>
        </w:tc>
        <w:tc>
          <w:tcPr>
            <w:tcW w:w="8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53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Retained earnings (accumulated deficit)</w:t>
            </w:r>
          </w:p>
        </w:tc>
        <w:tc>
          <w:tcPr>
            <w:tcW w:w="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138,572</w:t>
            </w:r>
          </w:p>
        </w:tc>
        <w:tc>
          <w:tcPr>
            <w:tcW w:w="1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(74,647)</w:t>
            </w:r>
          </w:p>
        </w:tc>
      </w:tr>
      <w:tr>
        <w:trPr>
          <w:trHeight w:val="161"/>
        </w:trPr>
        <w:tc>
          <w:tcPr>
            <w:tcW w:w="20" w:type="dxa"/>
            <w:vAlign w:val="bottom"/>
          </w:tcPr>
          <w:p>
            <w:pPr>
              <w:spacing w:after="0"/>
              <w:rPr>
                <w:sz w:val="14"/>
                <w:szCs w:val="14"/>
                <w:color w:val="auto"/>
              </w:rPr>
            </w:pPr>
          </w:p>
        </w:tc>
        <w:tc>
          <w:tcPr>
            <w:tcW w:w="53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Accumulated other comprehensive income (loss)</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14,099</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(6,691)</w:t>
            </w:r>
          </w:p>
        </w:tc>
      </w:tr>
      <w:tr>
        <w:trPr>
          <w:trHeight w:val="152"/>
        </w:trPr>
        <w:tc>
          <w:tcPr>
            <w:tcW w:w="20" w:type="dxa"/>
            <w:vAlign w:val="bottom"/>
          </w:tcPr>
          <w:p>
            <w:pPr>
              <w:spacing w:after="0"/>
              <w:rPr>
                <w:sz w:val="13"/>
                <w:szCs w:val="13"/>
                <w:color w:val="auto"/>
              </w:rPr>
            </w:pPr>
          </w:p>
        </w:tc>
        <w:tc>
          <w:tcPr>
            <w:tcW w:w="5320" w:type="dxa"/>
            <w:vAlign w:val="bottom"/>
            <w:tcBorders>
              <w:bottom w:val="single" w:sz="8" w:color="CFF0FC"/>
            </w:tcBorders>
            <w:shd w:val="clear" w:color="auto" w:fill="CFF0FC"/>
          </w:tcPr>
          <w:p>
            <w:pPr>
              <w:ind w:left="260"/>
              <w:spacing w:after="0" w:line="152" w:lineRule="exact"/>
              <w:rPr>
                <w:sz w:val="20"/>
                <w:szCs w:val="20"/>
                <w:color w:val="auto"/>
              </w:rPr>
            </w:pPr>
            <w:r>
              <w:rPr>
                <w:rFonts w:ascii="Times New Roman" w:cs="Times New Roman" w:eastAsia="Times New Roman" w:hAnsi="Times New Roman"/>
                <w:sz w:val="14"/>
                <w:szCs w:val="14"/>
                <w:color w:val="auto"/>
              </w:rPr>
              <w:t>Total shareholders’ equity</w:t>
            </w:r>
          </w:p>
        </w:tc>
        <w:tc>
          <w:tcPr>
            <w:tcW w:w="20" w:type="dxa"/>
            <w:vAlign w:val="bottom"/>
            <w:tcBorders>
              <w:bottom w:val="single" w:sz="8" w:color="CFF0FC"/>
            </w:tcBorders>
            <w:shd w:val="clear" w:color="auto" w:fill="CFF0FC"/>
          </w:tcPr>
          <w:p>
            <w:pPr>
              <w:spacing w:after="0"/>
              <w:rPr>
                <w:sz w:val="13"/>
                <w:szCs w:val="13"/>
                <w:color w:val="auto"/>
              </w:rPr>
            </w:pPr>
          </w:p>
        </w:tc>
        <w:tc>
          <w:tcPr>
            <w:tcW w:w="260" w:type="dxa"/>
            <w:vAlign w:val="bottom"/>
            <w:tcBorders>
              <w:top w:val="single" w:sz="8" w:color="auto"/>
              <w:bottom w:val="single" w:sz="8" w:color="auto"/>
            </w:tcBorders>
            <w:shd w:val="clear" w:color="auto" w:fill="CFF0FC"/>
          </w:tcPr>
          <w:p>
            <w:pPr>
              <w:spacing w:after="0"/>
              <w:rPr>
                <w:sz w:val="13"/>
                <w:szCs w:val="13"/>
                <w:color w:val="auto"/>
              </w:rPr>
            </w:pPr>
          </w:p>
        </w:tc>
        <w:tc>
          <w:tcPr>
            <w:tcW w:w="780" w:type="dxa"/>
            <w:vAlign w:val="bottom"/>
            <w:tcBorders>
              <w:top w:val="single" w:sz="8" w:color="auto"/>
              <w:bottom w:val="single" w:sz="8" w:color="auto"/>
            </w:tcBorders>
            <w:shd w:val="clear" w:color="auto" w:fill="CFF0FC"/>
          </w:tcPr>
          <w:p>
            <w:pPr>
              <w:jc w:val="right"/>
              <w:spacing w:after="0" w:line="152" w:lineRule="exact"/>
              <w:rPr>
                <w:sz w:val="20"/>
                <w:szCs w:val="20"/>
                <w:color w:val="auto"/>
              </w:rPr>
            </w:pPr>
            <w:r>
              <w:rPr>
                <w:rFonts w:ascii="Times New Roman" w:cs="Times New Roman" w:eastAsia="Times New Roman" w:hAnsi="Times New Roman"/>
                <w:sz w:val="14"/>
                <w:szCs w:val="14"/>
                <w:color w:val="auto"/>
              </w:rPr>
              <w:t>2,176,540</w:t>
            </w:r>
          </w:p>
        </w:tc>
        <w:tc>
          <w:tcPr>
            <w:tcW w:w="180" w:type="dxa"/>
            <w:vAlign w:val="bottom"/>
            <w:tcBorders>
              <w:bottom w:val="single" w:sz="8" w:color="CFF0FC"/>
            </w:tcBorders>
            <w:shd w:val="clear" w:color="auto" w:fill="CFF0FC"/>
          </w:tcPr>
          <w:p>
            <w:pPr>
              <w:spacing w:after="0"/>
              <w:rPr>
                <w:sz w:val="13"/>
                <w:szCs w:val="13"/>
                <w:color w:val="auto"/>
              </w:rPr>
            </w:pPr>
          </w:p>
        </w:tc>
        <w:tc>
          <w:tcPr>
            <w:tcW w:w="60" w:type="dxa"/>
            <w:vAlign w:val="bottom"/>
            <w:tcBorders>
              <w:top w:val="single" w:sz="8" w:color="auto"/>
              <w:bottom w:val="single" w:sz="8" w:color="auto"/>
            </w:tcBorders>
            <w:shd w:val="clear" w:color="auto" w:fill="CFF0FC"/>
          </w:tcPr>
          <w:p>
            <w:pPr>
              <w:spacing w:after="0"/>
              <w:rPr>
                <w:sz w:val="13"/>
                <w:szCs w:val="13"/>
                <w:color w:val="auto"/>
              </w:rPr>
            </w:pPr>
          </w:p>
        </w:tc>
        <w:tc>
          <w:tcPr>
            <w:tcW w:w="1020" w:type="dxa"/>
            <w:vAlign w:val="bottom"/>
            <w:tcBorders>
              <w:top w:val="single" w:sz="8" w:color="auto"/>
              <w:bottom w:val="single" w:sz="8" w:color="auto"/>
            </w:tcBorders>
            <w:shd w:val="clear" w:color="auto" w:fill="CFF0FC"/>
          </w:tcPr>
          <w:p>
            <w:pPr>
              <w:jc w:val="right"/>
              <w:spacing w:after="0" w:line="152" w:lineRule="exact"/>
              <w:rPr>
                <w:sz w:val="20"/>
                <w:szCs w:val="20"/>
                <w:color w:val="auto"/>
              </w:rPr>
            </w:pPr>
            <w:r>
              <w:rPr>
                <w:rFonts w:ascii="Times New Roman" w:cs="Times New Roman" w:eastAsia="Times New Roman" w:hAnsi="Times New Roman"/>
                <w:sz w:val="14"/>
                <w:szCs w:val="14"/>
                <w:color w:val="auto"/>
              </w:rPr>
              <w:t>1,875,065</w:t>
            </w:r>
          </w:p>
        </w:tc>
        <w:tc>
          <w:tcPr>
            <w:tcW w:w="80" w:type="dxa"/>
            <w:vAlign w:val="bottom"/>
            <w:tcBorders>
              <w:bottom w:val="single" w:sz="8" w:color="CFF0FC"/>
            </w:tcBorders>
            <w:shd w:val="clear" w:color="auto" w:fill="CFF0FC"/>
          </w:tcPr>
          <w:p>
            <w:pPr>
              <w:spacing w:after="0"/>
              <w:rPr>
                <w:sz w:val="13"/>
                <w:szCs w:val="13"/>
                <w:color w:val="auto"/>
              </w:rPr>
            </w:pPr>
          </w:p>
        </w:tc>
      </w:tr>
      <w:tr>
        <w:trPr>
          <w:trHeight w:val="152"/>
        </w:trPr>
        <w:tc>
          <w:tcPr>
            <w:tcW w:w="20" w:type="dxa"/>
            <w:vAlign w:val="bottom"/>
          </w:tcPr>
          <w:p>
            <w:pPr>
              <w:spacing w:after="0"/>
              <w:rPr>
                <w:sz w:val="13"/>
                <w:szCs w:val="13"/>
                <w:color w:val="auto"/>
              </w:rPr>
            </w:pPr>
          </w:p>
        </w:tc>
        <w:tc>
          <w:tcPr>
            <w:tcW w:w="5320" w:type="dxa"/>
            <w:vAlign w:val="bottom"/>
          </w:tcPr>
          <w:p>
            <w:pPr>
              <w:ind w:left="120"/>
              <w:spacing w:after="0" w:line="152" w:lineRule="exact"/>
              <w:rPr>
                <w:sz w:val="20"/>
                <w:szCs w:val="20"/>
                <w:color w:val="auto"/>
              </w:rPr>
            </w:pPr>
            <w:r>
              <w:rPr>
                <w:rFonts w:ascii="Times New Roman" w:cs="Times New Roman" w:eastAsia="Times New Roman" w:hAnsi="Times New Roman"/>
                <w:sz w:val="14"/>
                <w:szCs w:val="14"/>
                <w:color w:val="auto"/>
              </w:rPr>
              <w:t>Noncontrolling interest</w:t>
            </w:r>
          </w:p>
        </w:tc>
        <w:tc>
          <w:tcPr>
            <w:tcW w:w="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rPr>
              <w:t>75</w:t>
            </w:r>
          </w:p>
        </w:tc>
        <w:tc>
          <w:tcPr>
            <w:tcW w:w="18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rPr>
              <w:t>74</w:t>
            </w:r>
          </w:p>
        </w:tc>
        <w:tc>
          <w:tcPr>
            <w:tcW w:w="80" w:type="dxa"/>
            <w:vAlign w:val="bottom"/>
          </w:tcPr>
          <w:p>
            <w:pPr>
              <w:spacing w:after="0"/>
              <w:rPr>
                <w:sz w:val="13"/>
                <w:szCs w:val="13"/>
                <w:color w:val="auto"/>
              </w:rPr>
            </w:pPr>
          </w:p>
        </w:tc>
      </w:tr>
      <w:tr>
        <w:trPr>
          <w:trHeight w:val="152"/>
        </w:trPr>
        <w:tc>
          <w:tcPr>
            <w:tcW w:w="20" w:type="dxa"/>
            <w:vAlign w:val="bottom"/>
          </w:tcPr>
          <w:p>
            <w:pPr>
              <w:spacing w:after="0"/>
              <w:rPr>
                <w:sz w:val="13"/>
                <w:szCs w:val="13"/>
                <w:color w:val="auto"/>
              </w:rPr>
            </w:pPr>
          </w:p>
        </w:tc>
        <w:tc>
          <w:tcPr>
            <w:tcW w:w="5320" w:type="dxa"/>
            <w:vAlign w:val="bottom"/>
            <w:tcBorders>
              <w:bottom w:val="single" w:sz="8" w:color="CFF0FC"/>
            </w:tcBorders>
            <w:shd w:val="clear" w:color="auto" w:fill="CFF0FC"/>
          </w:tcPr>
          <w:p>
            <w:pPr>
              <w:ind w:left="400"/>
              <w:spacing w:after="0" w:line="152" w:lineRule="exact"/>
              <w:rPr>
                <w:sz w:val="20"/>
                <w:szCs w:val="20"/>
                <w:color w:val="auto"/>
              </w:rPr>
            </w:pPr>
            <w:r>
              <w:rPr>
                <w:rFonts w:ascii="Times New Roman" w:cs="Times New Roman" w:eastAsia="Times New Roman" w:hAnsi="Times New Roman"/>
                <w:sz w:val="14"/>
                <w:szCs w:val="14"/>
                <w:b w:val="1"/>
                <w:bCs w:val="1"/>
                <w:color w:val="auto"/>
              </w:rPr>
              <w:t>Total equity</w:t>
            </w:r>
          </w:p>
        </w:tc>
        <w:tc>
          <w:tcPr>
            <w:tcW w:w="20" w:type="dxa"/>
            <w:vAlign w:val="bottom"/>
            <w:tcBorders>
              <w:bottom w:val="single" w:sz="8" w:color="CFF0FC"/>
            </w:tcBorders>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spacing w:after="0"/>
              <w:rPr>
                <w:sz w:val="13"/>
                <w:szCs w:val="13"/>
                <w:color w:val="auto"/>
              </w:rPr>
            </w:pPr>
          </w:p>
        </w:tc>
        <w:tc>
          <w:tcPr>
            <w:tcW w:w="780" w:type="dxa"/>
            <w:vAlign w:val="bottom"/>
            <w:tcBorders>
              <w:bottom w:val="single" w:sz="8" w:color="auto"/>
            </w:tcBorders>
            <w:shd w:val="clear" w:color="auto" w:fill="CFF0FC"/>
          </w:tcPr>
          <w:p>
            <w:pPr>
              <w:jc w:val="right"/>
              <w:spacing w:after="0" w:line="152" w:lineRule="exact"/>
              <w:rPr>
                <w:sz w:val="20"/>
                <w:szCs w:val="20"/>
                <w:color w:val="auto"/>
              </w:rPr>
            </w:pPr>
            <w:r>
              <w:rPr>
                <w:rFonts w:ascii="Times New Roman" w:cs="Times New Roman" w:eastAsia="Times New Roman" w:hAnsi="Times New Roman"/>
                <w:sz w:val="14"/>
                <w:szCs w:val="14"/>
                <w:color w:val="auto"/>
              </w:rPr>
              <w:t>2,176,615</w:t>
            </w:r>
          </w:p>
        </w:tc>
        <w:tc>
          <w:tcPr>
            <w:tcW w:w="180" w:type="dxa"/>
            <w:vAlign w:val="bottom"/>
            <w:tcBorders>
              <w:bottom w:val="single" w:sz="8" w:color="CFF0FC"/>
            </w:tcBorders>
            <w:shd w:val="clear" w:color="auto" w:fill="CFF0FC"/>
          </w:tcPr>
          <w:p>
            <w:pPr>
              <w:spacing w:after="0"/>
              <w:rPr>
                <w:sz w:val="13"/>
                <w:szCs w:val="13"/>
                <w:color w:val="auto"/>
              </w:rPr>
            </w:pPr>
          </w:p>
        </w:tc>
        <w:tc>
          <w:tcPr>
            <w:tcW w:w="60" w:type="dxa"/>
            <w:vAlign w:val="bottom"/>
            <w:tcBorders>
              <w:bottom w:val="single" w:sz="8" w:color="auto"/>
            </w:tcBorders>
            <w:shd w:val="clear" w:color="auto" w:fill="CFF0FC"/>
          </w:tcPr>
          <w:p>
            <w:pPr>
              <w:spacing w:after="0"/>
              <w:rPr>
                <w:sz w:val="13"/>
                <w:szCs w:val="13"/>
                <w:color w:val="auto"/>
              </w:rPr>
            </w:pPr>
          </w:p>
        </w:tc>
        <w:tc>
          <w:tcPr>
            <w:tcW w:w="1020" w:type="dxa"/>
            <w:vAlign w:val="bottom"/>
            <w:tcBorders>
              <w:bottom w:val="single" w:sz="8" w:color="auto"/>
            </w:tcBorders>
            <w:shd w:val="clear" w:color="auto" w:fill="CFF0FC"/>
          </w:tcPr>
          <w:p>
            <w:pPr>
              <w:jc w:val="right"/>
              <w:spacing w:after="0" w:line="152" w:lineRule="exact"/>
              <w:rPr>
                <w:sz w:val="20"/>
                <w:szCs w:val="20"/>
                <w:color w:val="auto"/>
              </w:rPr>
            </w:pPr>
            <w:r>
              <w:rPr>
                <w:rFonts w:ascii="Times New Roman" w:cs="Times New Roman" w:eastAsia="Times New Roman" w:hAnsi="Times New Roman"/>
                <w:sz w:val="14"/>
                <w:szCs w:val="14"/>
                <w:color w:val="auto"/>
              </w:rPr>
              <w:t>1,875,139</w:t>
            </w:r>
          </w:p>
        </w:tc>
        <w:tc>
          <w:tcPr>
            <w:tcW w:w="80" w:type="dxa"/>
            <w:vAlign w:val="bottom"/>
            <w:tcBorders>
              <w:bottom w:val="single" w:sz="8" w:color="CFF0FC"/>
            </w:tcBorders>
            <w:shd w:val="clear" w:color="auto" w:fill="CFF0FC"/>
          </w:tcPr>
          <w:p>
            <w:pPr>
              <w:spacing w:after="0"/>
              <w:rPr>
                <w:sz w:val="13"/>
                <w:szCs w:val="13"/>
                <w:color w:val="auto"/>
              </w:rPr>
            </w:pPr>
          </w:p>
        </w:tc>
      </w:tr>
      <w:tr>
        <w:trPr>
          <w:trHeight w:val="152"/>
        </w:trPr>
        <w:tc>
          <w:tcPr>
            <w:tcW w:w="20" w:type="dxa"/>
            <w:vAlign w:val="bottom"/>
          </w:tcPr>
          <w:p>
            <w:pPr>
              <w:spacing w:after="0"/>
              <w:rPr>
                <w:sz w:val="13"/>
                <w:szCs w:val="13"/>
                <w:color w:val="auto"/>
              </w:rPr>
            </w:pPr>
          </w:p>
        </w:tc>
        <w:tc>
          <w:tcPr>
            <w:tcW w:w="5320" w:type="dxa"/>
            <w:vAlign w:val="bottom"/>
          </w:tcPr>
          <w:p>
            <w:pPr>
              <w:ind w:left="560"/>
              <w:spacing w:after="0" w:line="152" w:lineRule="exact"/>
              <w:rPr>
                <w:sz w:val="20"/>
                <w:szCs w:val="20"/>
                <w:color w:val="auto"/>
              </w:rPr>
            </w:pPr>
            <w:r>
              <w:rPr>
                <w:rFonts w:ascii="Times New Roman" w:cs="Times New Roman" w:eastAsia="Times New Roman" w:hAnsi="Times New Roman"/>
                <w:sz w:val="14"/>
                <w:szCs w:val="14"/>
                <w:b w:val="1"/>
                <w:bCs w:val="1"/>
                <w:color w:val="auto"/>
              </w:rPr>
              <w:t>Total liabilities, redeemable noncontrolling interests, and equity</w:t>
            </w:r>
          </w:p>
        </w:tc>
        <w:tc>
          <w:tcPr>
            <w:tcW w:w="28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6,266,621</w:t>
            </w:r>
          </w:p>
        </w:tc>
        <w:tc>
          <w:tcPr>
            <w:tcW w:w="240" w:type="dxa"/>
            <w:vAlign w:val="bottom"/>
            <w:gridSpan w:val="2"/>
          </w:tcPr>
          <w:p>
            <w:pPr>
              <w:jc w:val="right"/>
              <w:spacing w:after="0" w:line="152"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6,413,311</w:t>
            </w:r>
          </w:p>
        </w:tc>
        <w:tc>
          <w:tcPr>
            <w:tcW w:w="8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4469130</wp:posOffset>
            </wp:positionH>
            <wp:positionV relativeFrom="paragraph">
              <wp:posOffset>-3900170</wp:posOffset>
            </wp:positionV>
            <wp:extent cx="47625" cy="6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-3900170</wp:posOffset>
            </wp:positionV>
            <wp:extent cx="47625" cy="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4469130</wp:posOffset>
            </wp:positionH>
            <wp:positionV relativeFrom="paragraph">
              <wp:posOffset>-2113280</wp:posOffset>
            </wp:positionV>
            <wp:extent cx="47625" cy="6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-2113280</wp:posOffset>
            </wp:positionV>
            <wp:extent cx="47625" cy="6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4456430</wp:posOffset>
            </wp:positionH>
            <wp:positionV relativeFrom="paragraph">
              <wp:posOffset>-1607820</wp:posOffset>
            </wp:positionV>
            <wp:extent cx="73025" cy="1416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025" cy="141605"/>
                    </a:xfrm>
                    <a:prstGeom prst="rect">
                      <a:avLst/>
                    </a:prstGeom>
                    <a:noFill/>
                  </pic:spPr>
                </pic:pic>
              </a:graphicData>
            </a:graphic>
          </wp:anchor>
        </w:drawing>
        <w:drawing>
          <wp:anchor simplePos="0" relativeHeight="251657728" behindDoc="1" locked="0" layoutInCell="0" allowOverlap="1">
            <wp:simplePos x="0" y="0"/>
            <wp:positionH relativeFrom="column">
              <wp:posOffset>5254625</wp:posOffset>
            </wp:positionH>
            <wp:positionV relativeFrom="paragraph">
              <wp:posOffset>-1607820</wp:posOffset>
            </wp:positionV>
            <wp:extent cx="73025" cy="1416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025" cy="141605"/>
                    </a:xfrm>
                    <a:prstGeom prst="rect">
                      <a:avLst/>
                    </a:prstGeom>
                    <a:noFill/>
                  </pic:spPr>
                </pic:pic>
              </a:graphicData>
            </a:graphic>
          </wp:anchor>
        </w:drawing>
        <w:drawing>
          <wp:anchor simplePos="0" relativeHeight="251657728" behindDoc="1" locked="0" layoutInCell="0" allowOverlap="1">
            <wp:simplePos x="0" y="0"/>
            <wp:positionH relativeFrom="column">
              <wp:posOffset>4469130</wp:posOffset>
            </wp:positionH>
            <wp:positionV relativeFrom="paragraph">
              <wp:posOffset>-347345</wp:posOffset>
            </wp:positionV>
            <wp:extent cx="47625" cy="69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-347345</wp:posOffset>
            </wp:positionV>
            <wp:extent cx="47625" cy="6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4469130</wp:posOffset>
            </wp:positionH>
            <wp:positionV relativeFrom="paragraph">
              <wp:posOffset>-128905</wp:posOffset>
            </wp:positionV>
            <wp:extent cx="47625" cy="6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-128905</wp:posOffset>
            </wp:positionV>
            <wp:extent cx="47625" cy="69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the condensed consolidated financial statements.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96" w:right="1440"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BrightSpring Health Services, Inc. and Subsidiaries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Operations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(In thousands, except per share amounts)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(Unaudited)</w:t>
      </w:r>
    </w:p>
    <w:p>
      <w:pPr>
        <w:spacing w:after="0" w:line="156" w:lineRule="exact"/>
        <w:rPr>
          <w:sz w:val="20"/>
          <w:szCs w:val="20"/>
          <w:color w:val="auto"/>
        </w:rPr>
      </w:pPr>
    </w:p>
    <w:tbl>
      <w:tblPr>
        <w:tblLayout w:type="fixed"/>
        <w:tblInd w:w="64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80" w:type="dxa"/>
            <w:vAlign w:val="bottom"/>
            <w:gridSpan w:val="5"/>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For the Three Months Ended</w:t>
            </w:r>
          </w:p>
        </w:tc>
        <w:tc>
          <w:tcPr>
            <w:tcW w:w="100" w:type="dxa"/>
            <w:vAlign w:val="bottom"/>
          </w:tcPr>
          <w:p>
            <w:pPr>
              <w:spacing w:after="0"/>
              <w:rPr>
                <w:sz w:val="11"/>
                <w:szCs w:val="11"/>
                <w:color w:val="auto"/>
              </w:rPr>
            </w:pPr>
          </w:p>
        </w:tc>
        <w:tc>
          <w:tcPr>
            <w:tcW w:w="1720" w:type="dxa"/>
            <w:vAlign w:val="bottom"/>
            <w:gridSpan w:val="5"/>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For the Nine Months Ended</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80" w:type="dxa"/>
            <w:vAlign w:val="bottom"/>
            <w:gridSpan w:val="5"/>
          </w:tcPr>
          <w:p>
            <w:pPr>
              <w:jc w:val="right"/>
              <w:ind w:right="680"/>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100" w:type="dxa"/>
            <w:vAlign w:val="bottom"/>
          </w:tcPr>
          <w:p>
            <w:pPr>
              <w:spacing w:after="0"/>
              <w:rPr>
                <w:sz w:val="11"/>
                <w:szCs w:val="11"/>
                <w:color w:val="auto"/>
              </w:rPr>
            </w:pPr>
          </w:p>
        </w:tc>
        <w:tc>
          <w:tcPr>
            <w:tcW w:w="1720" w:type="dxa"/>
            <w:vAlign w:val="bottom"/>
            <w:gridSpan w:val="5"/>
          </w:tcPr>
          <w:p>
            <w:pPr>
              <w:jc w:val="right"/>
              <w:ind w:right="600"/>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Borders>
              <w:top w:val="single" w:sz="8" w:color="auto"/>
              <w:bottom w:val="single" w:sz="8" w:color="auto"/>
            </w:tcBorders>
          </w:tcPr>
          <w:p>
            <w:pPr>
              <w:spacing w:after="0"/>
              <w:rPr>
                <w:sz w:val="9"/>
                <w:szCs w:val="9"/>
                <w:color w:val="auto"/>
              </w:rPr>
            </w:pPr>
          </w:p>
        </w:tc>
        <w:tc>
          <w:tcPr>
            <w:tcW w:w="680" w:type="dxa"/>
            <w:vAlign w:val="bottom"/>
            <w:tcBorders>
              <w:top w:val="single" w:sz="8" w:color="auto"/>
              <w:bottom w:val="single" w:sz="8" w:color="auto"/>
            </w:tcBorders>
          </w:tcPr>
          <w:p>
            <w:pPr>
              <w:jc w:val="right"/>
              <w:ind w:right="210"/>
              <w:spacing w:after="0" w:line="109" w:lineRule="exact"/>
              <w:rPr>
                <w:sz w:val="20"/>
                <w:szCs w:val="20"/>
                <w:color w:val="auto"/>
              </w:rPr>
            </w:pPr>
            <w:r>
              <w:rPr>
                <w:rFonts w:ascii="Times New Roman" w:cs="Times New Roman" w:eastAsia="Times New Roman" w:hAnsi="Times New Roman"/>
                <w:sz w:val="11"/>
                <w:szCs w:val="11"/>
                <w:b w:val="1"/>
                <w:bCs w:val="1"/>
                <w:color w:val="auto"/>
              </w:rPr>
              <w:t>2026</w:t>
            </w:r>
          </w:p>
        </w:tc>
        <w:tc>
          <w:tcPr>
            <w:tcW w:w="160" w:type="dxa"/>
            <w:vAlign w:val="bottom"/>
            <w:tcBorders>
              <w:top w:val="single" w:sz="8" w:color="auto"/>
            </w:tcBorders>
          </w:tcPr>
          <w:p>
            <w:pPr>
              <w:spacing w:after="0"/>
              <w:rPr>
                <w:sz w:val="9"/>
                <w:szCs w:val="9"/>
                <w:color w:val="auto"/>
              </w:rPr>
            </w:pPr>
          </w:p>
        </w:tc>
        <w:tc>
          <w:tcPr>
            <w:tcW w:w="140" w:type="dxa"/>
            <w:vAlign w:val="bottom"/>
            <w:tcBorders>
              <w:top w:val="single" w:sz="8" w:color="auto"/>
              <w:bottom w:val="single" w:sz="8" w:color="auto"/>
            </w:tcBorders>
          </w:tcPr>
          <w:p>
            <w:pPr>
              <w:spacing w:after="0"/>
              <w:rPr>
                <w:sz w:val="9"/>
                <w:szCs w:val="9"/>
                <w:color w:val="auto"/>
              </w:rPr>
            </w:pPr>
          </w:p>
        </w:tc>
        <w:tc>
          <w:tcPr>
            <w:tcW w:w="640" w:type="dxa"/>
            <w:vAlign w:val="bottom"/>
            <w:tcBorders>
              <w:top w:val="single" w:sz="8" w:color="auto"/>
              <w:bottom w:val="single" w:sz="8" w:color="auto"/>
            </w:tcBorders>
          </w:tcPr>
          <w:p>
            <w:pPr>
              <w:jc w:val="right"/>
              <w:ind w:right="209"/>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160" w:type="dxa"/>
            <w:vAlign w:val="bottom"/>
          </w:tcPr>
          <w:p>
            <w:pPr>
              <w:spacing w:after="0"/>
              <w:rPr>
                <w:sz w:val="9"/>
                <w:szCs w:val="9"/>
                <w:color w:val="auto"/>
              </w:rPr>
            </w:pPr>
          </w:p>
        </w:tc>
        <w:tc>
          <w:tcPr>
            <w:tcW w:w="100" w:type="dxa"/>
            <w:vAlign w:val="bottom"/>
            <w:tcBorders>
              <w:top w:val="single" w:sz="8" w:color="auto"/>
              <w:bottom w:val="single" w:sz="8" w:color="auto"/>
            </w:tcBorders>
          </w:tcPr>
          <w:p>
            <w:pPr>
              <w:spacing w:after="0"/>
              <w:rPr>
                <w:sz w:val="9"/>
                <w:szCs w:val="9"/>
                <w:color w:val="auto"/>
              </w:rPr>
            </w:pPr>
          </w:p>
        </w:tc>
        <w:tc>
          <w:tcPr>
            <w:tcW w:w="680" w:type="dxa"/>
            <w:vAlign w:val="bottom"/>
            <w:tcBorders>
              <w:top w:val="single" w:sz="8" w:color="auto"/>
              <w:bottom w:val="single" w:sz="8" w:color="auto"/>
            </w:tcBorders>
          </w:tcPr>
          <w:p>
            <w:pPr>
              <w:jc w:val="right"/>
              <w:ind w:right="210"/>
              <w:spacing w:after="0" w:line="109" w:lineRule="exact"/>
              <w:rPr>
                <w:sz w:val="20"/>
                <w:szCs w:val="20"/>
                <w:color w:val="auto"/>
              </w:rPr>
            </w:pPr>
            <w:r>
              <w:rPr>
                <w:rFonts w:ascii="Times New Roman" w:cs="Times New Roman" w:eastAsia="Times New Roman" w:hAnsi="Times New Roman"/>
                <w:sz w:val="11"/>
                <w:szCs w:val="11"/>
                <w:b w:val="1"/>
                <w:bCs w:val="1"/>
                <w:color w:val="auto"/>
              </w:rPr>
              <w:t>2026</w:t>
            </w:r>
          </w:p>
        </w:tc>
        <w:tc>
          <w:tcPr>
            <w:tcW w:w="180" w:type="dxa"/>
            <w:vAlign w:val="bottom"/>
            <w:tcBorders>
              <w:top w:val="single" w:sz="8" w:color="auto"/>
            </w:tcBorders>
          </w:tcPr>
          <w:p>
            <w:pPr>
              <w:spacing w:after="0"/>
              <w:rPr>
                <w:sz w:val="9"/>
                <w:szCs w:val="9"/>
                <w:color w:val="auto"/>
              </w:rPr>
            </w:pPr>
          </w:p>
        </w:tc>
        <w:tc>
          <w:tcPr>
            <w:tcW w:w="120" w:type="dxa"/>
            <w:vAlign w:val="bottom"/>
            <w:tcBorders>
              <w:top w:val="single" w:sz="8" w:color="auto"/>
              <w:bottom w:val="single" w:sz="8" w:color="auto"/>
            </w:tcBorders>
          </w:tcPr>
          <w:p>
            <w:pPr>
              <w:spacing w:after="0"/>
              <w:rPr>
                <w:sz w:val="9"/>
                <w:szCs w:val="9"/>
                <w:color w:val="auto"/>
              </w:rPr>
            </w:pPr>
          </w:p>
        </w:tc>
        <w:tc>
          <w:tcPr>
            <w:tcW w:w="660" w:type="dxa"/>
            <w:vAlign w:val="bottom"/>
            <w:tcBorders>
              <w:top w:val="single" w:sz="8" w:color="auto"/>
              <w:bottom w:val="single" w:sz="8" w:color="auto"/>
            </w:tcBorders>
          </w:tcPr>
          <w:p>
            <w:pPr>
              <w:jc w:val="right"/>
              <w:ind w:right="209"/>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Revenues:</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60" w:type="dxa"/>
            <w:vAlign w:val="bottom"/>
            <w:tcBorders>
              <w:righ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8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Products</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3,732,428</w:t>
            </w:r>
          </w:p>
        </w:tc>
        <w:tc>
          <w:tcPr>
            <w:tcW w:w="16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2,966,966</w:t>
            </w:r>
          </w:p>
        </w:tc>
        <w:tc>
          <w:tcPr>
            <w:tcW w:w="1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10,310,950</w:t>
            </w:r>
          </w:p>
        </w:tc>
        <w:tc>
          <w:tcPr>
            <w:tcW w:w="180" w:type="dxa"/>
            <w:vAlign w:val="bottom"/>
          </w:tcPr>
          <w:p>
            <w:pPr>
              <w:spacing w:after="0"/>
              <w:rPr>
                <w:sz w:val="14"/>
                <w:szCs w:val="14"/>
                <w:color w:val="auto"/>
              </w:rPr>
            </w:pP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8,289,238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8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Services</w:t>
            </w:r>
          </w:p>
        </w:tc>
        <w:tc>
          <w:tcPr>
            <w:tcW w:w="1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480,806</w:t>
            </w:r>
          </w:p>
        </w:tc>
        <w:tc>
          <w:tcPr>
            <w:tcW w:w="160" w:type="dxa"/>
            <w:vAlign w:val="bottom"/>
            <w:tcBorders>
              <w:bottom w:val="single" w:sz="8" w:color="CFF0FC"/>
              <w:right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367,140</w:t>
            </w:r>
          </w:p>
        </w:tc>
        <w:tc>
          <w:tcPr>
            <w:tcW w:w="16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1,389,145</w:t>
            </w:r>
          </w:p>
        </w:tc>
        <w:tc>
          <w:tcPr>
            <w:tcW w:w="18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1,070,695</w:t>
            </w:r>
          </w:p>
        </w:tc>
        <w:tc>
          <w:tcPr>
            <w:tcW w:w="8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4"/>
                <w:szCs w:val="14"/>
                <w:color w:val="auto"/>
              </w:rPr>
              <w:t>Total revenues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4,213,234</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3,334,106</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11,700,095</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9,359,933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Cost of goods</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3,416,415</w:t>
            </w:r>
          </w:p>
        </w:tc>
        <w:tc>
          <w:tcPr>
            <w:tcW w:w="160" w:type="dxa"/>
            <w:vAlign w:val="bottom"/>
            <w:tcBorders>
              <w:righ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2,721,314</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9,395,982</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7,605,931</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4"/>
                <w:szCs w:val="14"/>
                <w:color w:val="auto"/>
              </w:rPr>
              <w:t>Cost of services</w:t>
            </w: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278,270</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220,784</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810,596</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648,773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Gross profit</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518,549</w:t>
            </w:r>
          </w:p>
        </w:tc>
        <w:tc>
          <w:tcPr>
            <w:tcW w:w="160" w:type="dxa"/>
            <w:vAlign w:val="bottom"/>
            <w:tcBorders>
              <w:righ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392,008</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1,493,517</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1,105,229</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8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358,069</w:t>
            </w:r>
          </w:p>
        </w:tc>
        <w:tc>
          <w:tcPr>
            <w:tcW w:w="16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304,165</w:t>
            </w:r>
          </w:p>
        </w:tc>
        <w:tc>
          <w:tcPr>
            <w:tcW w:w="16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1,081,197</w:t>
            </w:r>
          </w:p>
        </w:tc>
        <w:tc>
          <w:tcPr>
            <w:tcW w:w="1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918,090</w:t>
            </w:r>
          </w:p>
        </w:tc>
        <w:tc>
          <w:tcPr>
            <w:tcW w:w="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Operating income</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160,480</w:t>
            </w:r>
          </w:p>
        </w:tc>
        <w:tc>
          <w:tcPr>
            <w:tcW w:w="160" w:type="dxa"/>
            <w:vAlign w:val="bottom"/>
            <w:tcBorders>
              <w:righ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87,843</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412,320</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187,139</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4"/>
                <w:szCs w:val="14"/>
                <w:color w:val="auto"/>
              </w:rPr>
              <w:t>Interest expense, net</w:t>
            </w: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31,038</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38,235</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106,532</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118,776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Income from continuing operations before income taxes</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129,442</w:t>
            </w:r>
          </w:p>
        </w:tc>
        <w:tc>
          <w:tcPr>
            <w:tcW w:w="160" w:type="dxa"/>
            <w:vAlign w:val="bottom"/>
            <w:tcBorders>
              <w:righ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49,608</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305,788</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68,363</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4"/>
                <w:szCs w:val="14"/>
                <w:color w:val="auto"/>
              </w:rPr>
              <w:t>Income tax expense</w:t>
            </w: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28,640</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12,120</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44,099</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13,118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Income from continuing operations, net of income taxes</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100,802</w:t>
            </w:r>
          </w:p>
        </w:tc>
        <w:tc>
          <w:tcPr>
            <w:tcW w:w="160" w:type="dxa"/>
            <w:vAlign w:val="bottom"/>
            <w:tcBorders>
              <w:righ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37,488</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261,689</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55,245</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4"/>
                <w:szCs w:val="14"/>
                <w:color w:val="auto"/>
              </w:rPr>
              <w:t>(Loss) income from discontinued operations, net of income taxes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(503)</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17,753</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71,429</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56,548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income</w:t>
            </w:r>
          </w:p>
        </w:tc>
        <w:tc>
          <w:tcPr>
            <w:tcW w:w="14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100,299</w:t>
            </w:r>
          </w:p>
        </w:tc>
        <w:tc>
          <w:tcPr>
            <w:tcW w:w="160" w:type="dxa"/>
            <w:vAlign w:val="bottom"/>
            <w:tcBorders>
              <w:right w:val="single" w:sz="8" w:color="CFF0FC"/>
            </w:tcBorders>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55,241</w:t>
            </w:r>
          </w:p>
        </w:tc>
        <w:tc>
          <w:tcPr>
            <w:tcW w:w="16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333,118</w:t>
            </w:r>
          </w:p>
        </w:tc>
        <w:tc>
          <w:tcPr>
            <w:tcW w:w="18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111,793</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880" w:type="dxa"/>
            <w:vAlign w:val="bottom"/>
          </w:tcPr>
          <w:p>
            <w:pPr>
              <w:spacing w:after="0" w:line="157" w:lineRule="exact"/>
              <w:rPr>
                <w:sz w:val="20"/>
                <w:szCs w:val="20"/>
                <w:color w:val="auto"/>
              </w:rPr>
            </w:pPr>
            <w:r>
              <w:rPr>
                <w:rFonts w:ascii="Times New Roman" w:cs="Times New Roman" w:eastAsia="Times New Roman" w:hAnsi="Times New Roman"/>
                <w:sz w:val="14"/>
                <w:szCs w:val="14"/>
                <w:color w:val="auto"/>
              </w:rPr>
              <w:t>Net income (loss) attributable to noncontrolling interests included</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8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 continuing operations</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(595)</w:t>
            </w:r>
          </w:p>
        </w:tc>
        <w:tc>
          <w:tcPr>
            <w:tcW w:w="10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(77)</w:t>
            </w:r>
          </w:p>
        </w:tc>
        <w:tc>
          <w:tcPr>
            <w:tcW w:w="120" w:type="dxa"/>
            <w:vAlign w:val="bottom"/>
          </w:tcPr>
          <w:p>
            <w:pPr>
              <w:spacing w:after="0"/>
              <w:rPr>
                <w:sz w:val="16"/>
                <w:szCs w:val="16"/>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(1,793)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vMerge w:val="restart"/>
            <w:shd w:val="clear" w:color="auto" w:fill="CFF0FC"/>
          </w:tcPr>
          <w:p>
            <w:pPr>
              <w:spacing w:after="0" w:line="158" w:lineRule="exact"/>
              <w:rPr>
                <w:sz w:val="20"/>
                <w:szCs w:val="20"/>
                <w:color w:val="auto"/>
              </w:rPr>
            </w:pPr>
            <w:r>
              <w:rPr>
                <w:rFonts w:ascii="Times New Roman" w:cs="Times New Roman" w:eastAsia="Times New Roman" w:hAnsi="Times New Roman"/>
                <w:sz w:val="14"/>
                <w:szCs w:val="14"/>
                <w:color w:val="auto"/>
              </w:rPr>
              <w:t>Net income attributable to BrightSpring Health Services, Inc. and</w:t>
            </w: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20" w:type="dxa"/>
            <w:vAlign w:val="bottom"/>
          </w:tcPr>
          <w:p>
            <w:pPr>
              <w:spacing w:after="0"/>
              <w:rPr>
                <w:sz w:val="12"/>
                <w:szCs w:val="12"/>
                <w:color w:val="auto"/>
              </w:rPr>
            </w:pPr>
          </w:p>
        </w:tc>
        <w:tc>
          <w:tcPr>
            <w:tcW w:w="3880" w:type="dxa"/>
            <w:vAlign w:val="bottom"/>
            <w:vMerge w:val="continue"/>
            <w:shd w:val="clear" w:color="auto" w:fill="CFF0FC"/>
          </w:tcPr>
          <w:p>
            <w:pPr>
              <w:spacing w:after="0"/>
              <w:rPr>
                <w:sz w:val="12"/>
                <w:szCs w:val="12"/>
                <w:color w:val="auto"/>
              </w:rPr>
            </w:pPr>
          </w:p>
        </w:tc>
        <w:tc>
          <w:tcPr>
            <w:tcW w:w="24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100,138</w:t>
            </w:r>
          </w:p>
        </w:tc>
        <w:tc>
          <w:tcPr>
            <w:tcW w:w="160" w:type="dxa"/>
            <w:vAlign w:val="bottom"/>
            <w:tcBorders>
              <w:right w:val="single" w:sz="8" w:color="CFF0FC"/>
            </w:tcBorders>
            <w:shd w:val="clear" w:color="auto" w:fill="CFF0FC"/>
          </w:tcPr>
          <w:p>
            <w:pPr>
              <w:spacing w:after="0"/>
              <w:rPr>
                <w:sz w:val="12"/>
                <w:szCs w:val="12"/>
                <w:color w:val="auto"/>
              </w:rPr>
            </w:pP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55,836</w:t>
            </w:r>
          </w:p>
        </w:tc>
        <w:tc>
          <w:tcPr>
            <w:tcW w:w="160" w:type="dxa"/>
            <w:vAlign w:val="bottom"/>
            <w:shd w:val="clear" w:color="auto" w:fill="CFF0FC"/>
          </w:tcPr>
          <w:p>
            <w:pPr>
              <w:spacing w:after="0"/>
              <w:rPr>
                <w:sz w:val="12"/>
                <w:szCs w:val="12"/>
                <w:color w:val="auto"/>
              </w:rPr>
            </w:pP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333,195</w:t>
            </w:r>
          </w:p>
        </w:tc>
        <w:tc>
          <w:tcPr>
            <w:tcW w:w="180" w:type="dxa"/>
            <w:vAlign w:val="bottom"/>
            <w:shd w:val="clear" w:color="auto" w:fill="CFF0FC"/>
          </w:tcPr>
          <w:p>
            <w:pPr>
              <w:spacing w:after="0"/>
              <w:rPr>
                <w:sz w:val="12"/>
                <w:szCs w:val="12"/>
                <w:color w:val="auto"/>
              </w:rPr>
            </w:pPr>
          </w:p>
        </w:tc>
        <w:tc>
          <w:tcPr>
            <w:tcW w:w="120" w:type="dxa"/>
            <w:vAlign w:val="bottom"/>
            <w:vMerge w:val="restart"/>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113,586</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880" w:type="dxa"/>
            <w:vAlign w:val="bottom"/>
            <w:shd w:val="clear" w:color="auto" w:fill="CFF0FC"/>
          </w:tcPr>
          <w:p>
            <w:pPr>
              <w:ind w:left="80"/>
              <w:spacing w:after="0" w:line="155" w:lineRule="exact"/>
              <w:rPr>
                <w:sz w:val="20"/>
                <w:szCs w:val="20"/>
                <w:color w:val="auto"/>
              </w:rPr>
            </w:pPr>
            <w:r>
              <w:rPr>
                <w:rFonts w:ascii="Times New Roman" w:cs="Times New Roman" w:eastAsia="Times New Roman" w:hAnsi="Times New Roman"/>
                <w:sz w:val="14"/>
                <w:szCs w:val="14"/>
                <w:color w:val="auto"/>
              </w:rPr>
              <w:t>subsidiaries</w:t>
            </w:r>
          </w:p>
        </w:tc>
        <w:tc>
          <w:tcPr>
            <w:tcW w:w="240" w:type="dxa"/>
            <w:vAlign w:val="bottom"/>
            <w:gridSpan w:val="2"/>
            <w:vMerge w:val="continue"/>
            <w:shd w:val="clear" w:color="auto" w:fill="CFF0FC"/>
          </w:tcPr>
          <w:p>
            <w:pPr>
              <w:spacing w:after="0"/>
              <w:rPr>
                <w:sz w:val="16"/>
                <w:szCs w:val="16"/>
                <w:color w:val="auto"/>
              </w:rPr>
            </w:pPr>
          </w:p>
        </w:tc>
        <w:tc>
          <w:tcPr>
            <w:tcW w:w="680" w:type="dxa"/>
            <w:vAlign w:val="bottom"/>
            <w:vMerge w:val="continue"/>
            <w:shd w:val="clear" w:color="auto" w:fill="CFF0FC"/>
          </w:tcPr>
          <w:p>
            <w:pPr>
              <w:spacing w:after="0"/>
              <w:rPr>
                <w:sz w:val="16"/>
                <w:szCs w:val="16"/>
                <w:color w:val="auto"/>
              </w:rPr>
            </w:pPr>
          </w:p>
        </w:tc>
        <w:tc>
          <w:tcPr>
            <w:tcW w:w="160" w:type="dxa"/>
            <w:vAlign w:val="bottom"/>
            <w:tcBorders>
              <w:right w:val="single" w:sz="8" w:color="CFF0FC"/>
            </w:tcBorders>
            <w:shd w:val="clear" w:color="auto" w:fill="CFF0FC"/>
          </w:tcPr>
          <w:p>
            <w:pPr>
              <w:spacing w:after="0"/>
              <w:rPr>
                <w:sz w:val="16"/>
                <w:szCs w:val="16"/>
                <w:color w:val="auto"/>
              </w:rPr>
            </w:pPr>
          </w:p>
        </w:tc>
        <w:tc>
          <w:tcPr>
            <w:tcW w:w="140" w:type="dxa"/>
            <w:vAlign w:val="bottom"/>
            <w:vMerge w:val="continue"/>
            <w:shd w:val="clear" w:color="auto" w:fill="CFF0FC"/>
          </w:tcPr>
          <w:p>
            <w:pPr>
              <w:spacing w:after="0"/>
              <w:rPr>
                <w:sz w:val="16"/>
                <w:szCs w:val="16"/>
                <w:color w:val="auto"/>
              </w:rPr>
            </w:pPr>
          </w:p>
        </w:tc>
        <w:tc>
          <w:tcPr>
            <w:tcW w:w="640" w:type="dxa"/>
            <w:vAlign w:val="bottom"/>
            <w:vMerge w:val="continue"/>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vMerge w:val="continue"/>
            <w:shd w:val="clear" w:color="auto" w:fill="CFF0FC"/>
          </w:tcPr>
          <w:p>
            <w:pPr>
              <w:spacing w:after="0"/>
              <w:rPr>
                <w:sz w:val="16"/>
                <w:szCs w:val="16"/>
                <w:color w:val="auto"/>
              </w:rPr>
            </w:pPr>
          </w:p>
        </w:tc>
        <w:tc>
          <w:tcPr>
            <w:tcW w:w="680" w:type="dxa"/>
            <w:vAlign w:val="bottom"/>
            <w:vMerge w:val="continue"/>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 w:type="dxa"/>
            <w:vAlign w:val="bottom"/>
            <w:vMerge w:val="continue"/>
            <w:shd w:val="clear" w:color="auto" w:fill="CFF0FC"/>
          </w:tcPr>
          <w:p>
            <w:pPr>
              <w:spacing w:after="0"/>
              <w:rPr>
                <w:sz w:val="16"/>
                <w:szCs w:val="16"/>
                <w:color w:val="auto"/>
              </w:rPr>
            </w:pPr>
          </w:p>
        </w:tc>
        <w:tc>
          <w:tcPr>
            <w:tcW w:w="660" w:type="dxa"/>
            <w:vAlign w:val="bottom"/>
            <w:vMerge w:val="continue"/>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3880" w:type="dxa"/>
            <w:vAlign w:val="bottom"/>
            <w:tcBorders>
              <w:top w:val="single" w:sz="8" w:color="CFF0FC"/>
            </w:tcBorders>
          </w:tcPr>
          <w:p>
            <w:pPr>
              <w:spacing w:after="0"/>
              <w:rPr>
                <w:sz w:val="12"/>
                <w:szCs w:val="12"/>
                <w:color w:val="auto"/>
              </w:rPr>
            </w:pPr>
          </w:p>
        </w:tc>
        <w:tc>
          <w:tcPr>
            <w:tcW w:w="14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60" w:type="dxa"/>
            <w:vAlign w:val="bottom"/>
            <w:tcBorders>
              <w:top w:val="single" w:sz="8" w:color="CFF0FC"/>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6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80" w:type="dxa"/>
            <w:vAlign w:val="bottom"/>
            <w:tcBorders>
              <w:top w:val="single" w:sz="8" w:color="CFF0FC"/>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8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income per common share (Note 10):</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60" w:type="dxa"/>
            <w:vAlign w:val="bottom"/>
            <w:tcBorders>
              <w:righ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880" w:type="dxa"/>
            <w:vAlign w:val="bottom"/>
          </w:tcPr>
          <w:p>
            <w:pPr>
              <w:ind w:left="120"/>
              <w:spacing w:after="0" w:line="157" w:lineRule="exact"/>
              <w:rPr>
                <w:sz w:val="20"/>
                <w:szCs w:val="20"/>
                <w:color w:val="auto"/>
              </w:rPr>
            </w:pPr>
            <w:r>
              <w:rPr>
                <w:rFonts w:ascii="Times New Roman" w:cs="Times New Roman" w:eastAsia="Times New Roman" w:hAnsi="Times New Roman"/>
                <w:sz w:val="14"/>
                <w:szCs w:val="14"/>
                <w:color w:val="auto"/>
              </w:rPr>
              <w:t>Basic income (loss) per share attributable to common</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8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shareholders:</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8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Continuing operations</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0.49</w:t>
            </w:r>
          </w:p>
        </w:tc>
        <w:tc>
          <w:tcPr>
            <w:tcW w:w="160" w:type="dxa"/>
            <w:vAlign w:val="bottom"/>
            <w:tcBorders>
              <w:right w:val="single" w:sz="8" w:color="CFF0FC"/>
            </w:tcBorders>
            <w:shd w:val="clear" w:color="auto" w:fill="CFF0FC"/>
          </w:tcPr>
          <w:p>
            <w:pPr>
              <w:spacing w:after="0"/>
              <w:rPr>
                <w:sz w:val="14"/>
                <w:szCs w:val="14"/>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0.19</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0.28</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8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Discontinued operations</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(0.01)</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0.08</w:t>
            </w:r>
          </w:p>
        </w:tc>
        <w:tc>
          <w:tcPr>
            <w:tcW w:w="1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0.35</w:t>
            </w:r>
          </w:p>
        </w:tc>
        <w:tc>
          <w:tcPr>
            <w:tcW w:w="180" w:type="dxa"/>
            <w:vAlign w:val="bottom"/>
          </w:tcPr>
          <w:p>
            <w:pPr>
              <w:spacing w:after="0"/>
              <w:rPr>
                <w:sz w:val="14"/>
                <w:szCs w:val="14"/>
                <w:color w:val="auto"/>
              </w:rPr>
            </w:pP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38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Net income per share</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0.48</w:t>
            </w:r>
          </w:p>
        </w:tc>
        <w:tc>
          <w:tcPr>
            <w:tcW w:w="160" w:type="dxa"/>
            <w:vAlign w:val="bottom"/>
            <w:tcBorders>
              <w:right w:val="single" w:sz="8" w:color="CFF0FC"/>
            </w:tcBorders>
            <w:shd w:val="clear" w:color="auto" w:fill="CFF0FC"/>
          </w:tcPr>
          <w:p>
            <w:pPr>
              <w:spacing w:after="0"/>
              <w:rPr>
                <w:sz w:val="14"/>
                <w:szCs w:val="14"/>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0.27</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0.56</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880" w:type="dxa"/>
            <w:vAlign w:val="bottom"/>
          </w:tcPr>
          <w:p>
            <w:pPr>
              <w:ind w:left="120"/>
              <w:spacing w:after="0" w:line="157" w:lineRule="exact"/>
              <w:rPr>
                <w:sz w:val="20"/>
                <w:szCs w:val="20"/>
                <w:color w:val="auto"/>
              </w:rPr>
            </w:pPr>
            <w:r>
              <w:rPr>
                <w:rFonts w:ascii="Times New Roman" w:cs="Times New Roman" w:eastAsia="Times New Roman" w:hAnsi="Times New Roman"/>
                <w:sz w:val="14"/>
                <w:szCs w:val="14"/>
                <w:color w:val="auto"/>
              </w:rPr>
              <w:t>Diluted income (loss) per share attributable to common</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8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shareholders:</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8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Continuing operations</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0.46</w:t>
            </w:r>
          </w:p>
        </w:tc>
        <w:tc>
          <w:tcPr>
            <w:tcW w:w="160" w:type="dxa"/>
            <w:vAlign w:val="bottom"/>
            <w:tcBorders>
              <w:right w:val="single" w:sz="8" w:color="CFF0FC"/>
            </w:tcBorders>
            <w:shd w:val="clear" w:color="auto" w:fill="CFF0FC"/>
          </w:tcPr>
          <w:p>
            <w:pPr>
              <w:spacing w:after="0"/>
              <w:rPr>
                <w:sz w:val="14"/>
                <w:szCs w:val="14"/>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0.17</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0.26</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8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Discontinued operations</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(0.01)</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0.09</w:t>
            </w:r>
          </w:p>
        </w:tc>
        <w:tc>
          <w:tcPr>
            <w:tcW w:w="1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0.33</w:t>
            </w:r>
          </w:p>
        </w:tc>
        <w:tc>
          <w:tcPr>
            <w:tcW w:w="180" w:type="dxa"/>
            <w:vAlign w:val="bottom"/>
          </w:tcPr>
          <w:p>
            <w:pPr>
              <w:spacing w:after="0"/>
              <w:rPr>
                <w:sz w:val="14"/>
                <w:szCs w:val="14"/>
                <w:color w:val="auto"/>
              </w:rPr>
            </w:pP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38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Net income per share</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0.45</w:t>
            </w:r>
          </w:p>
        </w:tc>
        <w:tc>
          <w:tcPr>
            <w:tcW w:w="160" w:type="dxa"/>
            <w:vAlign w:val="bottom"/>
            <w:tcBorders>
              <w:right w:val="single" w:sz="8" w:color="CFF0FC"/>
            </w:tcBorders>
            <w:shd w:val="clear" w:color="auto" w:fill="CFF0FC"/>
          </w:tcPr>
          <w:p>
            <w:pPr>
              <w:spacing w:after="0"/>
              <w:rPr>
                <w:sz w:val="14"/>
                <w:szCs w:val="14"/>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0.26</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0.52</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4"/>
                <w:szCs w:val="14"/>
                <w:color w:val="auto"/>
              </w:rPr>
              <w:t>Weighted average shares outstanding:</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8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Basic</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207,022</w:t>
            </w:r>
          </w:p>
        </w:tc>
        <w:tc>
          <w:tcPr>
            <w:tcW w:w="160" w:type="dxa"/>
            <w:vAlign w:val="bottom"/>
            <w:tcBorders>
              <w:righ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203,487</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205,934</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202,067</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8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Diluted</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220,226</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217,982</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220,972</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218,519</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3467100</wp:posOffset>
            </wp:positionH>
            <wp:positionV relativeFrom="paragraph">
              <wp:posOffset>-3444875</wp:posOffset>
            </wp:positionV>
            <wp:extent cx="47625" cy="69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4067175</wp:posOffset>
            </wp:positionH>
            <wp:positionV relativeFrom="paragraph">
              <wp:posOffset>-3444875</wp:posOffset>
            </wp:positionV>
            <wp:extent cx="47625" cy="69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4667250</wp:posOffset>
            </wp:positionH>
            <wp:positionV relativeFrom="paragraph">
              <wp:posOffset>-3444875</wp:posOffset>
            </wp:positionV>
            <wp:extent cx="47625" cy="69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-3444875</wp:posOffset>
            </wp:positionV>
            <wp:extent cx="47625" cy="69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3467100</wp:posOffset>
            </wp:positionH>
            <wp:positionV relativeFrom="paragraph">
              <wp:posOffset>-2886075</wp:posOffset>
            </wp:positionV>
            <wp:extent cx="47625" cy="69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4067175</wp:posOffset>
            </wp:positionH>
            <wp:positionV relativeFrom="paragraph">
              <wp:posOffset>-2886075</wp:posOffset>
            </wp:positionV>
            <wp:extent cx="47625" cy="69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4667250</wp:posOffset>
            </wp:positionH>
            <wp:positionV relativeFrom="paragraph">
              <wp:posOffset>-2886075</wp:posOffset>
            </wp:positionV>
            <wp:extent cx="47625" cy="69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-2886075</wp:posOffset>
            </wp:positionV>
            <wp:extent cx="47625" cy="69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3467100</wp:posOffset>
            </wp:positionH>
            <wp:positionV relativeFrom="paragraph">
              <wp:posOffset>-1678940</wp:posOffset>
            </wp:positionV>
            <wp:extent cx="47625" cy="69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3467100</wp:posOffset>
            </wp:positionH>
            <wp:positionV relativeFrom="paragraph">
              <wp:posOffset>-1664970</wp:posOffset>
            </wp:positionV>
            <wp:extent cx="47625" cy="69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3467100</wp:posOffset>
            </wp:positionH>
            <wp:positionV relativeFrom="paragraph">
              <wp:posOffset>-1876425</wp:posOffset>
            </wp:positionV>
            <wp:extent cx="47625" cy="69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4067175</wp:posOffset>
            </wp:positionH>
            <wp:positionV relativeFrom="paragraph">
              <wp:posOffset>-1678940</wp:posOffset>
            </wp:positionV>
            <wp:extent cx="47625" cy="69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4067175</wp:posOffset>
            </wp:positionH>
            <wp:positionV relativeFrom="paragraph">
              <wp:posOffset>-1664970</wp:posOffset>
            </wp:positionV>
            <wp:extent cx="47625" cy="69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4067175</wp:posOffset>
            </wp:positionH>
            <wp:positionV relativeFrom="paragraph">
              <wp:posOffset>-1876425</wp:posOffset>
            </wp:positionV>
            <wp:extent cx="47625" cy="69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4667250</wp:posOffset>
            </wp:positionH>
            <wp:positionV relativeFrom="paragraph">
              <wp:posOffset>-1678940</wp:posOffset>
            </wp:positionV>
            <wp:extent cx="47625" cy="69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4667250</wp:posOffset>
            </wp:positionH>
            <wp:positionV relativeFrom="paragraph">
              <wp:posOffset>-1664970</wp:posOffset>
            </wp:positionV>
            <wp:extent cx="47625" cy="69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4667250</wp:posOffset>
            </wp:positionH>
            <wp:positionV relativeFrom="paragraph">
              <wp:posOffset>-1876425</wp:posOffset>
            </wp:positionV>
            <wp:extent cx="47625" cy="69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-1678940</wp:posOffset>
            </wp:positionV>
            <wp:extent cx="47625" cy="69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-1664970</wp:posOffset>
            </wp:positionV>
            <wp:extent cx="47625" cy="69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-1876425</wp:posOffset>
            </wp:positionV>
            <wp:extent cx="47625" cy="69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See accompanying notes to the condensed consolidated financial statements.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4" w:right="1440"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4"/>
          <w:szCs w:val="14"/>
          <w:b w:val="1"/>
          <w:bCs w:val="1"/>
          <w:color w:val="auto"/>
        </w:rPr>
        <w:t>BrightSpring Health Services,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Comprehensive Income</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(In thousands)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(Unaudited)</w:t>
      </w:r>
    </w:p>
    <w:p>
      <w:pPr>
        <w:spacing w:after="0" w:line="156" w:lineRule="exact"/>
        <w:rPr>
          <w:sz w:val="20"/>
          <w:szCs w:val="20"/>
          <w:color w:val="auto"/>
        </w:rPr>
      </w:pPr>
    </w:p>
    <w:tbl>
      <w:tblPr>
        <w:tblLayout w:type="fixed"/>
        <w:tblInd w:w="64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1720" w:type="dxa"/>
            <w:vAlign w:val="bottom"/>
            <w:gridSpan w:val="6"/>
          </w:tcPr>
          <w:p>
            <w:pPr>
              <w:jc w:val="right"/>
              <w:ind w:right="220"/>
              <w:spacing w:after="0"/>
              <w:rPr>
                <w:sz w:val="20"/>
                <w:szCs w:val="20"/>
                <w:color w:val="auto"/>
              </w:rPr>
            </w:pPr>
            <w:r>
              <w:rPr>
                <w:rFonts w:ascii="Times New Roman" w:cs="Times New Roman" w:eastAsia="Times New Roman" w:hAnsi="Times New Roman"/>
                <w:sz w:val="11"/>
                <w:szCs w:val="11"/>
                <w:b w:val="1"/>
                <w:bCs w:val="1"/>
                <w:color w:val="auto"/>
              </w:rPr>
              <w:t>For the Three Months Ended</w:t>
            </w:r>
          </w:p>
        </w:tc>
        <w:tc>
          <w:tcPr>
            <w:tcW w:w="120" w:type="dxa"/>
            <w:vAlign w:val="bottom"/>
          </w:tcPr>
          <w:p>
            <w:pPr>
              <w:spacing w:after="0"/>
              <w:rPr>
                <w:sz w:val="11"/>
                <w:szCs w:val="11"/>
                <w:color w:val="auto"/>
              </w:rPr>
            </w:pPr>
          </w:p>
        </w:tc>
        <w:tc>
          <w:tcPr>
            <w:tcW w:w="1660" w:type="dxa"/>
            <w:vAlign w:val="bottom"/>
            <w:gridSpan w:val="5"/>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rPr>
              <w:t>For the Nine Months Ended</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60" w:type="dxa"/>
            <w:vAlign w:val="bottom"/>
            <w:gridSpan w:val="5"/>
          </w:tcPr>
          <w:p>
            <w:pPr>
              <w:jc w:val="right"/>
              <w:ind w:right="580"/>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120" w:type="dxa"/>
            <w:vAlign w:val="bottom"/>
          </w:tcPr>
          <w:p>
            <w:pPr>
              <w:spacing w:after="0"/>
              <w:rPr>
                <w:sz w:val="11"/>
                <w:szCs w:val="11"/>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4220" w:type="dxa"/>
            <w:vAlign w:val="bottom"/>
          </w:tcPr>
          <w:p>
            <w:pPr>
              <w:spacing w:after="0"/>
              <w:rPr>
                <w:sz w:val="9"/>
                <w:szCs w:val="9"/>
                <w:color w:val="auto"/>
              </w:rPr>
            </w:pPr>
          </w:p>
        </w:tc>
        <w:tc>
          <w:tcPr>
            <w:tcW w:w="160" w:type="dxa"/>
            <w:vAlign w:val="bottom"/>
            <w:tcBorders>
              <w:top w:val="single" w:sz="8" w:color="auto"/>
              <w:bottom w:val="single" w:sz="8" w:color="auto"/>
            </w:tcBorders>
          </w:tcPr>
          <w:p>
            <w:pPr>
              <w:spacing w:after="0"/>
              <w:rPr>
                <w:sz w:val="9"/>
                <w:szCs w:val="9"/>
                <w:color w:val="auto"/>
              </w:rPr>
            </w:pPr>
          </w:p>
        </w:tc>
        <w:tc>
          <w:tcPr>
            <w:tcW w:w="620" w:type="dxa"/>
            <w:vAlign w:val="bottom"/>
            <w:tcBorders>
              <w:top w:val="single" w:sz="8" w:color="auto"/>
              <w:bottom w:val="single" w:sz="8" w:color="auto"/>
            </w:tcBorders>
          </w:tcPr>
          <w:p>
            <w:pPr>
              <w:jc w:val="right"/>
              <w:ind w:right="211"/>
              <w:spacing w:after="0" w:line="109" w:lineRule="exact"/>
              <w:rPr>
                <w:sz w:val="20"/>
                <w:szCs w:val="20"/>
                <w:color w:val="auto"/>
              </w:rPr>
            </w:pPr>
            <w:r>
              <w:rPr>
                <w:rFonts w:ascii="Times New Roman" w:cs="Times New Roman" w:eastAsia="Times New Roman" w:hAnsi="Times New Roman"/>
                <w:sz w:val="11"/>
                <w:szCs w:val="11"/>
                <w:b w:val="1"/>
                <w:bCs w:val="1"/>
                <w:color w:val="auto"/>
              </w:rPr>
              <w:t>2026</w:t>
            </w:r>
          </w:p>
        </w:tc>
        <w:tc>
          <w:tcPr>
            <w:tcW w:w="140" w:type="dxa"/>
            <w:vAlign w:val="bottom"/>
            <w:tcBorders>
              <w:top w:val="single" w:sz="8" w:color="auto"/>
            </w:tcBorders>
          </w:tcPr>
          <w:p>
            <w:pPr>
              <w:spacing w:after="0"/>
              <w:rPr>
                <w:sz w:val="9"/>
                <w:szCs w:val="9"/>
                <w:color w:val="auto"/>
              </w:rPr>
            </w:pPr>
          </w:p>
        </w:tc>
        <w:tc>
          <w:tcPr>
            <w:tcW w:w="140" w:type="dxa"/>
            <w:vAlign w:val="bottom"/>
            <w:tcBorders>
              <w:top w:val="single" w:sz="8" w:color="auto"/>
              <w:bottom w:val="single" w:sz="8" w:color="auto"/>
            </w:tcBorders>
          </w:tcPr>
          <w:p>
            <w:pPr>
              <w:spacing w:after="0"/>
              <w:rPr>
                <w:sz w:val="9"/>
                <w:szCs w:val="9"/>
                <w:color w:val="auto"/>
              </w:rPr>
            </w:pPr>
          </w:p>
        </w:tc>
        <w:tc>
          <w:tcPr>
            <w:tcW w:w="520" w:type="dxa"/>
            <w:vAlign w:val="bottom"/>
            <w:tcBorders>
              <w:top w:val="single" w:sz="8" w:color="auto"/>
              <w:bottom w:val="single" w:sz="8" w:color="auto"/>
            </w:tcBorders>
          </w:tcPr>
          <w:p>
            <w:pPr>
              <w:jc w:val="right"/>
              <w:ind w:right="150"/>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140" w:type="dxa"/>
            <w:vAlign w:val="bottom"/>
          </w:tcPr>
          <w:p>
            <w:pPr>
              <w:spacing w:after="0"/>
              <w:rPr>
                <w:sz w:val="9"/>
                <w:szCs w:val="9"/>
                <w:color w:val="auto"/>
              </w:rPr>
            </w:pPr>
          </w:p>
        </w:tc>
        <w:tc>
          <w:tcPr>
            <w:tcW w:w="120" w:type="dxa"/>
            <w:vAlign w:val="bottom"/>
            <w:tcBorders>
              <w:top w:val="single" w:sz="8" w:color="auto"/>
              <w:bottom w:val="single" w:sz="8" w:color="auto"/>
            </w:tcBorders>
          </w:tcPr>
          <w:p>
            <w:pPr>
              <w:spacing w:after="0"/>
              <w:rPr>
                <w:sz w:val="9"/>
                <w:szCs w:val="9"/>
                <w:color w:val="auto"/>
              </w:rPr>
            </w:pPr>
          </w:p>
        </w:tc>
        <w:tc>
          <w:tcPr>
            <w:tcW w:w="700" w:type="dxa"/>
            <w:vAlign w:val="bottom"/>
            <w:tcBorders>
              <w:top w:val="single" w:sz="8" w:color="auto"/>
              <w:bottom w:val="single" w:sz="8" w:color="auto"/>
            </w:tcBorders>
          </w:tcPr>
          <w:p>
            <w:pPr>
              <w:jc w:val="right"/>
              <w:ind w:right="232"/>
              <w:spacing w:after="0" w:line="109" w:lineRule="exact"/>
              <w:rPr>
                <w:sz w:val="20"/>
                <w:szCs w:val="20"/>
                <w:color w:val="auto"/>
              </w:rPr>
            </w:pPr>
            <w:r>
              <w:rPr>
                <w:rFonts w:ascii="Times New Roman" w:cs="Times New Roman" w:eastAsia="Times New Roman" w:hAnsi="Times New Roman"/>
                <w:sz w:val="11"/>
                <w:szCs w:val="11"/>
                <w:b w:val="1"/>
                <w:bCs w:val="1"/>
                <w:color w:val="auto"/>
              </w:rPr>
              <w:t>2026</w:t>
            </w:r>
          </w:p>
        </w:tc>
        <w:tc>
          <w:tcPr>
            <w:tcW w:w="160" w:type="dxa"/>
            <w:vAlign w:val="bottom"/>
            <w:tcBorders>
              <w:top w:val="single" w:sz="8" w:color="auto"/>
            </w:tcBorders>
          </w:tcPr>
          <w:p>
            <w:pPr>
              <w:spacing w:after="0"/>
              <w:rPr>
                <w:sz w:val="9"/>
                <w:szCs w:val="9"/>
                <w:color w:val="auto"/>
              </w:rPr>
            </w:pPr>
          </w:p>
        </w:tc>
        <w:tc>
          <w:tcPr>
            <w:tcW w:w="220" w:type="dxa"/>
            <w:vAlign w:val="bottom"/>
            <w:tcBorders>
              <w:top w:val="single" w:sz="8" w:color="auto"/>
              <w:bottom w:val="single" w:sz="8" w:color="auto"/>
            </w:tcBorders>
          </w:tcPr>
          <w:p>
            <w:pPr>
              <w:spacing w:after="0"/>
              <w:rPr>
                <w:sz w:val="9"/>
                <w:szCs w:val="9"/>
                <w:color w:val="auto"/>
              </w:rPr>
            </w:pPr>
          </w:p>
        </w:tc>
        <w:tc>
          <w:tcPr>
            <w:tcW w:w="480" w:type="dxa"/>
            <w:vAlign w:val="bottom"/>
            <w:tcBorders>
              <w:top w:val="single" w:sz="8" w:color="auto"/>
              <w:bottom w:val="single" w:sz="8" w:color="auto"/>
            </w:tcBorders>
          </w:tcPr>
          <w:p>
            <w:pPr>
              <w:jc w:val="right"/>
              <w:ind w:right="170"/>
              <w:spacing w:after="0" w:line="109" w:lineRule="exact"/>
              <w:rPr>
                <w:sz w:val="20"/>
                <w:szCs w:val="20"/>
                <w:color w:val="auto"/>
              </w:rPr>
            </w:pPr>
            <w:r>
              <w:rPr>
                <w:rFonts w:ascii="Times New Roman" w:cs="Times New Roman" w:eastAsia="Times New Roman" w:hAnsi="Times New Roman"/>
                <w:sz w:val="11"/>
                <w:szCs w:val="11"/>
                <w:b w:val="1"/>
                <w:bCs w:val="1"/>
                <w:color w:val="auto"/>
                <w:w w:val="99"/>
              </w:rPr>
              <w:t>2025</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22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income</w:t>
            </w:r>
          </w:p>
        </w:tc>
        <w:tc>
          <w:tcPr>
            <w:tcW w:w="16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100,299</w:t>
            </w:r>
          </w:p>
        </w:tc>
        <w:tc>
          <w:tcPr>
            <w:tcW w:w="140" w:type="dxa"/>
            <w:vAlign w:val="bottom"/>
            <w:tcBorders>
              <w:right w:val="single" w:sz="8" w:color="CFF0FC"/>
            </w:tcBorders>
            <w:shd w:val="clear" w:color="auto" w:fill="CFF0FC"/>
          </w:tcPr>
          <w:p>
            <w:pPr>
              <w:spacing w:after="0"/>
              <w:rPr>
                <w:sz w:val="14"/>
                <w:szCs w:val="14"/>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55,241</w:t>
            </w:r>
          </w:p>
        </w:tc>
        <w:tc>
          <w:tcPr>
            <w:tcW w:w="140" w:type="dxa"/>
            <w:vAlign w:val="bottom"/>
            <w:tcBorders>
              <w:right w:val="single" w:sz="8" w:color="CFF0FC"/>
            </w:tcBorders>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333,118</w:t>
            </w:r>
          </w:p>
        </w:tc>
        <w:tc>
          <w:tcPr>
            <w:tcW w:w="160" w:type="dxa"/>
            <w:vAlign w:val="bottom"/>
            <w:tcBorders>
              <w:right w:val="single" w:sz="8" w:color="CFF0FC"/>
            </w:tcBorders>
            <w:shd w:val="clear" w:color="auto" w:fill="CFF0FC"/>
          </w:tcPr>
          <w:p>
            <w:pPr>
              <w:spacing w:after="0"/>
              <w:rPr>
                <w:sz w:val="14"/>
                <w:szCs w:val="14"/>
                <w:color w:val="auto"/>
              </w:rPr>
            </w:pPr>
          </w:p>
        </w:tc>
        <w:tc>
          <w:tcPr>
            <w:tcW w:w="22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111,793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4"/>
                <w:szCs w:val="14"/>
                <w:color w:val="auto"/>
              </w:rPr>
              <w:t>Other comprehensive income (loss), net of tax:</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220" w:type="dxa"/>
            <w:vAlign w:val="bottom"/>
            <w:tcBorders>
              <w:right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40" w:type="dxa"/>
            <w:vAlign w:val="bottom"/>
            <w:tcBorders>
              <w:righ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60" w:type="dxa"/>
            <w:vAlign w:val="bottom"/>
            <w:tcBorders>
              <w:right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(97)</w:t>
            </w:r>
          </w:p>
        </w:tc>
        <w:tc>
          <w:tcPr>
            <w:tcW w:w="120" w:type="dxa"/>
            <w:vAlign w:val="bottom"/>
            <w:shd w:val="clear" w:color="auto" w:fill="CFF0FC"/>
          </w:tcPr>
          <w:p>
            <w:pPr>
              <w:spacing w:after="0"/>
              <w:rPr>
                <w:sz w:val="14"/>
                <w:szCs w:val="14"/>
                <w:color w:val="auto"/>
              </w:rPr>
            </w:pPr>
          </w:p>
        </w:tc>
        <w:tc>
          <w:tcPr>
            <w:tcW w:w="860" w:type="dxa"/>
            <w:vAlign w:val="bottom"/>
            <w:tcBorders>
              <w:right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(203)</w:t>
            </w:r>
          </w:p>
        </w:tc>
        <w:tc>
          <w:tcPr>
            <w:tcW w:w="22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2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Cash flow hedges:</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220" w:type="dxa"/>
            <w:vAlign w:val="bottom"/>
            <w:tcBorders>
              <w:right w:val="single" w:sz="8" w:color="CFF0FC"/>
            </w:tcBorders>
            <w:shd w:val="clear" w:color="auto" w:fill="CFF0FC"/>
          </w:tcPr>
          <w:p>
            <w:pPr>
              <w:ind w:left="260"/>
              <w:spacing w:after="0" w:line="172" w:lineRule="exact"/>
              <w:rPr>
                <w:sz w:val="20"/>
                <w:szCs w:val="20"/>
                <w:color w:val="auto"/>
              </w:rPr>
            </w:pPr>
            <w:r>
              <w:rPr>
                <w:rFonts w:ascii="Times New Roman" w:cs="Times New Roman" w:eastAsia="Times New Roman" w:hAnsi="Times New Roman"/>
                <w:sz w:val="14"/>
                <w:szCs w:val="14"/>
                <w:color w:val="auto"/>
              </w:rPr>
              <w:t xml:space="preserve">Net change in fair value, net of tax </w:t>
            </w:r>
            <w:r>
              <w:rPr>
                <w:rFonts w:ascii="Times New Roman" w:cs="Times New Roman" w:eastAsia="Times New Roman" w:hAnsi="Times New Roman"/>
                <w:sz w:val="19"/>
                <w:szCs w:val="19"/>
                <w:color w:val="auto"/>
                <w:vertAlign w:val="superscript"/>
              </w:rPr>
              <w:t>(1)</w:t>
            </w: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10,365</w:t>
            </w:r>
          </w:p>
        </w:tc>
        <w:tc>
          <w:tcPr>
            <w:tcW w:w="140" w:type="dxa"/>
            <w:vAlign w:val="bottom"/>
            <w:tcBorders>
              <w:righ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1,570</w:t>
            </w:r>
          </w:p>
        </w:tc>
        <w:tc>
          <w:tcPr>
            <w:tcW w:w="140" w:type="dxa"/>
            <w:vAlign w:val="bottom"/>
            <w:tcBorders>
              <w:right w:val="single" w:sz="8" w:color="CFF0FC"/>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22,223</w:t>
            </w:r>
          </w:p>
        </w:tc>
        <w:tc>
          <w:tcPr>
            <w:tcW w:w="160" w:type="dxa"/>
            <w:vAlign w:val="bottom"/>
            <w:tcBorders>
              <w:right w:val="single" w:sz="8" w:color="CFF0FC"/>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2,292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220" w:type="dxa"/>
            <w:vAlign w:val="bottom"/>
          </w:tcPr>
          <w:p>
            <w:pPr>
              <w:ind w:left="260"/>
              <w:spacing w:after="0" w:line="172" w:lineRule="exact"/>
              <w:rPr>
                <w:sz w:val="20"/>
                <w:szCs w:val="20"/>
                <w:color w:val="auto"/>
              </w:rPr>
            </w:pPr>
            <w:r>
              <w:rPr>
                <w:rFonts w:ascii="Times New Roman" w:cs="Times New Roman" w:eastAsia="Times New Roman" w:hAnsi="Times New Roman"/>
                <w:sz w:val="14"/>
                <w:szCs w:val="14"/>
                <w:color w:val="auto"/>
              </w:rPr>
              <w:t xml:space="preserve">Amounts reclassified to earnings, net of tax </w:t>
            </w:r>
            <w:r>
              <w:rPr>
                <w:rFonts w:ascii="Times New Roman" w:cs="Times New Roman" w:eastAsia="Times New Roman" w:hAnsi="Times New Roman"/>
                <w:sz w:val="19"/>
                <w:szCs w:val="19"/>
                <w:color w:val="auto"/>
                <w:vertAlign w:val="superscript"/>
              </w:rPr>
              <w:t>(2)</w:t>
            </w:r>
          </w:p>
        </w:tc>
        <w:tc>
          <w:tcPr>
            <w:tcW w:w="16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(454)</w:t>
            </w:r>
          </w:p>
        </w:tc>
        <w:tc>
          <w:tcPr>
            <w:tcW w:w="14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(3,434)</w:t>
            </w:r>
          </w:p>
        </w:tc>
        <w:tc>
          <w:tcPr>
            <w:tcW w:w="12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(1,230)</w:t>
            </w:r>
          </w:p>
        </w:tc>
        <w:tc>
          <w:tcPr>
            <w:tcW w:w="220" w:type="dxa"/>
            <w:vAlign w:val="bottom"/>
          </w:tcPr>
          <w:p>
            <w:pPr>
              <w:spacing w:after="0"/>
              <w:rPr>
                <w:sz w:val="14"/>
                <w:szCs w:val="14"/>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(10,112)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vMerge w:val="continue"/>
          </w:tcPr>
          <w:p>
            <w:pPr>
              <w:spacing w:after="0"/>
              <w:rPr>
                <w:sz w:val="14"/>
                <w:szCs w:val="14"/>
                <w:color w:val="auto"/>
              </w:rPr>
            </w:pPr>
          </w:p>
        </w:tc>
        <w:tc>
          <w:tcPr>
            <w:tcW w:w="422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 other comprehensive income (loss), net of tax</w:t>
            </w: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9,914</w:t>
            </w:r>
          </w:p>
        </w:tc>
        <w:tc>
          <w:tcPr>
            <w:tcW w:w="140" w:type="dxa"/>
            <w:vAlign w:val="bottom"/>
            <w:tcBorders>
              <w:righ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60" w:type="dxa"/>
            <w:vAlign w:val="bottom"/>
            <w:tcBorders>
              <w:right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(1,961)</w:t>
            </w: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20,790</w:t>
            </w:r>
          </w:p>
        </w:tc>
        <w:tc>
          <w:tcPr>
            <w:tcW w:w="160" w:type="dxa"/>
            <w:vAlign w:val="bottom"/>
            <w:tcBorders>
              <w:right w:val="single" w:sz="8" w:color="CFF0FC"/>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(7,709)</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2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4"/>
                <w:szCs w:val="14"/>
                <w:color w:val="auto"/>
              </w:rPr>
              <w:t>Total comprehensive income</w:t>
            </w:r>
          </w:p>
        </w:tc>
        <w:tc>
          <w:tcPr>
            <w:tcW w:w="16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110,213</w:t>
            </w:r>
          </w:p>
        </w:tc>
        <w:tc>
          <w:tcPr>
            <w:tcW w:w="140" w:type="dxa"/>
            <w:vAlign w:val="bottom"/>
            <w:tcBorders>
              <w:top w:val="single" w:sz="8" w:color="CFF0FC"/>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53,280</w:t>
            </w:r>
          </w:p>
        </w:tc>
        <w:tc>
          <w:tcPr>
            <w:tcW w:w="140" w:type="dxa"/>
            <w:vAlign w:val="bottom"/>
            <w:tcBorders>
              <w:top w:val="single" w:sz="8" w:color="CFF0FC"/>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353,908</w:t>
            </w:r>
          </w:p>
        </w:tc>
        <w:tc>
          <w:tcPr>
            <w:tcW w:w="160" w:type="dxa"/>
            <w:vAlign w:val="bottom"/>
            <w:tcBorders>
              <w:top w:val="single" w:sz="8" w:color="CFF0FC"/>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104,084</w:t>
            </w:r>
          </w:p>
        </w:tc>
        <w:tc>
          <w:tcPr>
            <w:tcW w:w="10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20" w:type="dxa"/>
            <w:vAlign w:val="bottom"/>
            <w:tcBorders>
              <w:right w:val="single" w:sz="8" w:color="CFF0FC"/>
            </w:tcBorders>
            <w:shd w:val="clear" w:color="auto" w:fill="CFF0FC"/>
          </w:tcPr>
          <w:p>
            <w:pPr>
              <w:spacing w:after="0" w:line="148" w:lineRule="exact"/>
              <w:rPr>
                <w:sz w:val="20"/>
                <w:szCs w:val="20"/>
                <w:color w:val="auto"/>
              </w:rPr>
            </w:pPr>
            <w:r>
              <w:rPr>
                <w:rFonts w:ascii="Times New Roman" w:cs="Times New Roman" w:eastAsia="Times New Roman" w:hAnsi="Times New Roman"/>
                <w:sz w:val="14"/>
                <w:szCs w:val="14"/>
                <w:color w:val="auto"/>
              </w:rPr>
              <w:t>Comprehensive income (loss) attributable to redeemable noncontrolling</w:t>
            </w: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60" w:type="dxa"/>
            <w:vAlign w:val="bottom"/>
            <w:tcBorders>
              <w:right w:val="single" w:sz="8" w:color="CFF0FC"/>
            </w:tcBorders>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220" w:type="dxa"/>
            <w:vAlign w:val="bottom"/>
            <w:tcBorders>
              <w:right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interests</w:t>
            </w:r>
          </w:p>
        </w:tc>
        <w:tc>
          <w:tcPr>
            <w:tcW w:w="16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140" w:type="dxa"/>
            <w:vAlign w:val="bottom"/>
            <w:tcBorders>
              <w:right w:val="single" w:sz="8" w:color="CFF0FC"/>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60" w:type="dxa"/>
            <w:vAlign w:val="bottom"/>
            <w:tcBorders>
              <w:right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(455)</w:t>
            </w:r>
          </w:p>
        </w:tc>
        <w:tc>
          <w:tcPr>
            <w:tcW w:w="120" w:type="dxa"/>
            <w:vAlign w:val="bottom"/>
            <w:shd w:val="clear" w:color="auto" w:fill="CFF0FC"/>
          </w:tcPr>
          <w:p>
            <w:pPr>
              <w:spacing w:after="0"/>
              <w:rPr>
                <w:sz w:val="16"/>
                <w:szCs w:val="16"/>
                <w:color w:val="auto"/>
              </w:rPr>
            </w:pPr>
          </w:p>
        </w:tc>
        <w:tc>
          <w:tcPr>
            <w:tcW w:w="860" w:type="dxa"/>
            <w:vAlign w:val="bottom"/>
            <w:tcBorders>
              <w:right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(91)</w:t>
            </w:r>
          </w:p>
        </w:tc>
        <w:tc>
          <w:tcPr>
            <w:tcW w:w="220" w:type="dxa"/>
            <w:vAlign w:val="bottom"/>
            <w:shd w:val="clear" w:color="auto" w:fill="CFF0FC"/>
          </w:tcPr>
          <w:p>
            <w:pPr>
              <w:spacing w:after="0"/>
              <w:rPr>
                <w:sz w:val="16"/>
                <w:szCs w:val="16"/>
                <w:color w:val="auto"/>
              </w:rPr>
            </w:pPr>
          </w:p>
        </w:tc>
        <w:tc>
          <w:tcPr>
            <w:tcW w:w="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(1,370)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4"/>
                <w:szCs w:val="14"/>
                <w:color w:val="auto"/>
              </w:rPr>
              <w:t>Comprehensive income (loss) attributable to noncontrolling interest</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(140)</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(423)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vMerge w:val="continue"/>
          </w:tcPr>
          <w:p>
            <w:pPr>
              <w:spacing w:after="0"/>
              <w:rPr>
                <w:sz w:val="12"/>
                <w:szCs w:val="12"/>
                <w:color w:val="auto"/>
              </w:rPr>
            </w:pPr>
          </w:p>
        </w:tc>
        <w:tc>
          <w:tcPr>
            <w:tcW w:w="4220" w:type="dxa"/>
            <w:vAlign w:val="bottom"/>
            <w:tcBorders>
              <w:right w:val="single" w:sz="8" w:color="CFF0FC"/>
            </w:tcBorders>
            <w:shd w:val="clear" w:color="auto" w:fill="CFF0FC"/>
          </w:tcPr>
          <w:p>
            <w:pPr>
              <w:spacing w:after="0" w:line="148" w:lineRule="exact"/>
              <w:rPr>
                <w:sz w:val="20"/>
                <w:szCs w:val="20"/>
                <w:color w:val="auto"/>
              </w:rPr>
            </w:pPr>
            <w:r>
              <w:rPr>
                <w:rFonts w:ascii="Times New Roman" w:cs="Times New Roman" w:eastAsia="Times New Roman" w:hAnsi="Times New Roman"/>
                <w:sz w:val="14"/>
                <w:szCs w:val="14"/>
                <w:color w:val="auto"/>
              </w:rPr>
              <w:t>Comprehensive income attributable to BrightSpring Health Services,</w:t>
            </w:r>
          </w:p>
        </w:tc>
        <w:tc>
          <w:tcPr>
            <w:tcW w:w="160" w:type="dxa"/>
            <w:vAlign w:val="bottom"/>
            <w:vMerge w:val="restart"/>
            <w:shd w:val="clear" w:color="auto" w:fill="CFF0FC"/>
          </w:tcPr>
          <w:p>
            <w:pPr>
              <w:jc w:val="right"/>
              <w:ind w:right="13"/>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110,052</w:t>
            </w:r>
          </w:p>
        </w:tc>
        <w:tc>
          <w:tcPr>
            <w:tcW w:w="140" w:type="dxa"/>
            <w:vAlign w:val="bottom"/>
            <w:tcBorders>
              <w:right w:val="single" w:sz="8" w:color="CFF0FC"/>
            </w:tcBorders>
            <w:shd w:val="clear" w:color="auto" w:fill="CFF0FC"/>
          </w:tcPr>
          <w:p>
            <w:pPr>
              <w:spacing w:after="0"/>
              <w:rPr>
                <w:sz w:val="12"/>
                <w:szCs w:val="12"/>
                <w:color w:val="auto"/>
              </w:rPr>
            </w:pP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53,875</w:t>
            </w:r>
          </w:p>
        </w:tc>
        <w:tc>
          <w:tcPr>
            <w:tcW w:w="140" w:type="dxa"/>
            <w:vAlign w:val="bottom"/>
            <w:tcBorders>
              <w:right w:val="single" w:sz="8" w:color="CFF0FC"/>
            </w:tcBorders>
            <w:shd w:val="clear" w:color="auto" w:fill="CFF0FC"/>
          </w:tcPr>
          <w:p>
            <w:pPr>
              <w:spacing w:after="0"/>
              <w:rPr>
                <w:sz w:val="12"/>
                <w:szCs w:val="12"/>
                <w:color w:val="auto"/>
              </w:rPr>
            </w:pP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353,985</w:t>
            </w:r>
          </w:p>
        </w:tc>
        <w:tc>
          <w:tcPr>
            <w:tcW w:w="160" w:type="dxa"/>
            <w:vAlign w:val="bottom"/>
            <w:tcBorders>
              <w:right w:val="single" w:sz="8" w:color="CFF0FC"/>
            </w:tcBorders>
            <w:shd w:val="clear" w:color="auto" w:fill="CFF0FC"/>
          </w:tcPr>
          <w:p>
            <w:pPr>
              <w:spacing w:after="0"/>
              <w:rPr>
                <w:sz w:val="12"/>
                <w:szCs w:val="12"/>
                <w:color w:val="auto"/>
              </w:rPr>
            </w:pPr>
          </w:p>
        </w:tc>
        <w:tc>
          <w:tcPr>
            <w:tcW w:w="220" w:type="dxa"/>
            <w:vAlign w:val="bottom"/>
            <w:vMerge w:val="restart"/>
            <w:shd w:val="clear" w:color="auto" w:fill="CFF0FC"/>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105,877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220" w:type="dxa"/>
            <w:vAlign w:val="bottom"/>
            <w:tcBorders>
              <w:right w:val="single" w:sz="8" w:color="CFF0FC"/>
            </w:tcBorders>
            <w:shd w:val="clear" w:color="auto" w:fill="CFF0FC"/>
          </w:tcPr>
          <w:p>
            <w:pPr>
              <w:ind w:left="80"/>
              <w:spacing w:after="0" w:line="155" w:lineRule="exact"/>
              <w:rPr>
                <w:sz w:val="20"/>
                <w:szCs w:val="20"/>
                <w:color w:val="auto"/>
              </w:rPr>
            </w:pPr>
            <w:r>
              <w:rPr>
                <w:rFonts w:ascii="Times New Roman" w:cs="Times New Roman" w:eastAsia="Times New Roman" w:hAnsi="Times New Roman"/>
                <w:sz w:val="14"/>
                <w:szCs w:val="14"/>
                <w:color w:val="auto"/>
              </w:rPr>
              <w:t>Inc. and subsidiaries</w:t>
            </w:r>
          </w:p>
        </w:tc>
        <w:tc>
          <w:tcPr>
            <w:tcW w:w="160" w:type="dxa"/>
            <w:vAlign w:val="bottom"/>
            <w:vMerge w:val="continue"/>
            <w:shd w:val="clear" w:color="auto" w:fill="CFF0FC"/>
          </w:tcPr>
          <w:p>
            <w:pPr>
              <w:spacing w:after="0"/>
              <w:rPr>
                <w:sz w:val="15"/>
                <w:szCs w:val="15"/>
                <w:color w:val="auto"/>
              </w:rPr>
            </w:pPr>
          </w:p>
        </w:tc>
        <w:tc>
          <w:tcPr>
            <w:tcW w:w="620" w:type="dxa"/>
            <w:vAlign w:val="bottom"/>
            <w:vMerge w:val="continue"/>
            <w:shd w:val="clear" w:color="auto" w:fill="CFF0FC"/>
          </w:tcPr>
          <w:p>
            <w:pPr>
              <w:spacing w:after="0"/>
              <w:rPr>
                <w:sz w:val="15"/>
                <w:szCs w:val="15"/>
                <w:color w:val="auto"/>
              </w:rPr>
            </w:pPr>
          </w:p>
        </w:tc>
        <w:tc>
          <w:tcPr>
            <w:tcW w:w="140" w:type="dxa"/>
            <w:vAlign w:val="bottom"/>
            <w:tcBorders>
              <w:right w:val="single" w:sz="8" w:color="CFF0FC"/>
            </w:tcBorders>
            <w:shd w:val="clear" w:color="auto" w:fill="CFF0FC"/>
          </w:tcPr>
          <w:p>
            <w:pPr>
              <w:spacing w:after="0"/>
              <w:rPr>
                <w:sz w:val="15"/>
                <w:szCs w:val="15"/>
                <w:color w:val="auto"/>
              </w:rPr>
            </w:pPr>
          </w:p>
        </w:tc>
        <w:tc>
          <w:tcPr>
            <w:tcW w:w="140" w:type="dxa"/>
            <w:vAlign w:val="bottom"/>
            <w:vMerge w:val="continue"/>
            <w:shd w:val="clear" w:color="auto" w:fill="CFF0FC"/>
          </w:tcPr>
          <w:p>
            <w:pPr>
              <w:spacing w:after="0"/>
              <w:rPr>
                <w:sz w:val="15"/>
                <w:szCs w:val="15"/>
                <w:color w:val="auto"/>
              </w:rPr>
            </w:pPr>
          </w:p>
        </w:tc>
        <w:tc>
          <w:tcPr>
            <w:tcW w:w="520" w:type="dxa"/>
            <w:vAlign w:val="bottom"/>
            <w:vMerge w:val="continue"/>
            <w:shd w:val="clear" w:color="auto" w:fill="CFF0FC"/>
          </w:tcPr>
          <w:p>
            <w:pPr>
              <w:spacing w:after="0"/>
              <w:rPr>
                <w:sz w:val="15"/>
                <w:szCs w:val="15"/>
                <w:color w:val="auto"/>
              </w:rPr>
            </w:pPr>
          </w:p>
        </w:tc>
        <w:tc>
          <w:tcPr>
            <w:tcW w:w="140" w:type="dxa"/>
            <w:vAlign w:val="bottom"/>
            <w:tcBorders>
              <w:right w:val="single" w:sz="8" w:color="CFF0FC"/>
            </w:tcBorders>
            <w:shd w:val="clear" w:color="auto" w:fill="CFF0FC"/>
          </w:tcPr>
          <w:p>
            <w:pPr>
              <w:spacing w:after="0"/>
              <w:rPr>
                <w:sz w:val="15"/>
                <w:szCs w:val="15"/>
                <w:color w:val="auto"/>
              </w:rPr>
            </w:pPr>
          </w:p>
        </w:tc>
        <w:tc>
          <w:tcPr>
            <w:tcW w:w="120" w:type="dxa"/>
            <w:vAlign w:val="bottom"/>
            <w:vMerge w:val="continue"/>
            <w:shd w:val="clear" w:color="auto" w:fill="CFF0FC"/>
          </w:tcPr>
          <w:p>
            <w:pPr>
              <w:spacing w:after="0"/>
              <w:rPr>
                <w:sz w:val="15"/>
                <w:szCs w:val="15"/>
                <w:color w:val="auto"/>
              </w:rPr>
            </w:pPr>
          </w:p>
        </w:tc>
        <w:tc>
          <w:tcPr>
            <w:tcW w:w="700" w:type="dxa"/>
            <w:vAlign w:val="bottom"/>
            <w:vMerge w:val="continue"/>
            <w:shd w:val="clear" w:color="auto" w:fill="CFF0FC"/>
          </w:tcPr>
          <w:p>
            <w:pPr>
              <w:spacing w:after="0"/>
              <w:rPr>
                <w:sz w:val="15"/>
                <w:szCs w:val="15"/>
                <w:color w:val="auto"/>
              </w:rPr>
            </w:pPr>
          </w:p>
        </w:tc>
        <w:tc>
          <w:tcPr>
            <w:tcW w:w="160" w:type="dxa"/>
            <w:vAlign w:val="bottom"/>
            <w:tcBorders>
              <w:right w:val="single" w:sz="8" w:color="CFF0FC"/>
            </w:tcBorders>
            <w:shd w:val="clear" w:color="auto" w:fill="CFF0FC"/>
          </w:tcPr>
          <w:p>
            <w:pPr>
              <w:spacing w:after="0"/>
              <w:rPr>
                <w:sz w:val="15"/>
                <w:szCs w:val="15"/>
                <w:color w:val="auto"/>
              </w:rPr>
            </w:pPr>
          </w:p>
        </w:tc>
        <w:tc>
          <w:tcPr>
            <w:tcW w:w="220" w:type="dxa"/>
            <w:vAlign w:val="bottom"/>
            <w:vMerge w:val="continue"/>
            <w:shd w:val="clear" w:color="auto" w:fill="CFF0FC"/>
          </w:tcPr>
          <w:p>
            <w:pPr>
              <w:spacing w:after="0"/>
              <w:rPr>
                <w:sz w:val="15"/>
                <w:szCs w:val="15"/>
                <w:color w:val="auto"/>
              </w:rPr>
            </w:pPr>
          </w:p>
        </w:tc>
        <w:tc>
          <w:tcPr>
            <w:tcW w:w="480" w:type="dxa"/>
            <w:vAlign w:val="bottom"/>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3589655</wp:posOffset>
            </wp:positionH>
            <wp:positionV relativeFrom="paragraph">
              <wp:posOffset>-674370</wp:posOffset>
            </wp:positionV>
            <wp:extent cx="47625" cy="69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4101465</wp:posOffset>
            </wp:positionH>
            <wp:positionV relativeFrom="paragraph">
              <wp:posOffset>-674370</wp:posOffset>
            </wp:positionV>
            <wp:extent cx="47625" cy="69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4714875</wp:posOffset>
            </wp:positionH>
            <wp:positionV relativeFrom="paragraph">
              <wp:posOffset>-674370</wp:posOffset>
            </wp:positionV>
            <wp:extent cx="47625" cy="69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-674370</wp:posOffset>
            </wp:positionV>
            <wp:extent cx="54610" cy="69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3589655</wp:posOffset>
            </wp:positionH>
            <wp:positionV relativeFrom="paragraph">
              <wp:posOffset>-19685</wp:posOffset>
            </wp:positionV>
            <wp:extent cx="47625" cy="69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3589655</wp:posOffset>
            </wp:positionH>
            <wp:positionV relativeFrom="paragraph">
              <wp:posOffset>-6350</wp:posOffset>
            </wp:positionV>
            <wp:extent cx="47625" cy="69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4101465</wp:posOffset>
            </wp:positionH>
            <wp:positionV relativeFrom="paragraph">
              <wp:posOffset>-19685</wp:posOffset>
            </wp:positionV>
            <wp:extent cx="47625" cy="69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4101465</wp:posOffset>
            </wp:positionH>
            <wp:positionV relativeFrom="paragraph">
              <wp:posOffset>-6350</wp:posOffset>
            </wp:positionV>
            <wp:extent cx="47625" cy="69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4714875</wp:posOffset>
            </wp:positionH>
            <wp:positionV relativeFrom="paragraph">
              <wp:posOffset>-19685</wp:posOffset>
            </wp:positionV>
            <wp:extent cx="47625" cy="69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4714875</wp:posOffset>
            </wp:positionH>
            <wp:positionV relativeFrom="paragraph">
              <wp:posOffset>-6350</wp:posOffset>
            </wp:positionV>
            <wp:extent cx="47625" cy="69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-19685</wp:posOffset>
            </wp:positionV>
            <wp:extent cx="54610" cy="69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-6350</wp:posOffset>
            </wp:positionV>
            <wp:extent cx="54610" cy="69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4610" cy="6985"/>
                    </a:xfrm>
                    <a:prstGeom prst="rect">
                      <a:avLst/>
                    </a:prstGeom>
                    <a:noFill/>
                  </pic:spPr>
                </pic:pic>
              </a:graphicData>
            </a:graphic>
          </wp:anchor>
        </w:drawing>
      </w:r>
    </w:p>
    <w:p>
      <w:pPr>
        <w:spacing w:after="0" w:line="180" w:lineRule="exact"/>
        <w:rPr>
          <w:sz w:val="20"/>
          <w:szCs w:val="20"/>
          <w:color w:val="auto"/>
        </w:rPr>
      </w:pPr>
    </w:p>
    <w:p>
      <w:pPr>
        <w:ind w:left="980" w:right="679" w:hanging="342"/>
        <w:spacing w:after="0" w:line="226" w:lineRule="auto"/>
        <w:tabs>
          <w:tab w:leader="none" w:pos="980" w:val="left"/>
        </w:tabs>
        <w:numPr>
          <w:ilvl w:val="0"/>
          <w:numId w:val="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income tax effects of the net change in fair value were $(3,362) and $(7,211) for the three and nine months ended September 30, 2026, respectively, and $(510) and $(744) for the three and nine months ended September 30, 2025, respectively.</w:t>
      </w:r>
    </w:p>
    <w:p>
      <w:pPr>
        <w:spacing w:after="0" w:line="93" w:lineRule="exact"/>
        <w:rPr>
          <w:rFonts w:ascii="Times New Roman" w:cs="Times New Roman" w:eastAsia="Times New Roman" w:hAnsi="Times New Roman"/>
          <w:sz w:val="19"/>
          <w:szCs w:val="19"/>
          <w:color w:val="auto"/>
          <w:vertAlign w:val="superscript"/>
        </w:rPr>
      </w:pPr>
    </w:p>
    <w:p>
      <w:pPr>
        <w:ind w:left="980" w:right="759" w:hanging="342"/>
        <w:spacing w:after="0" w:line="226" w:lineRule="auto"/>
        <w:tabs>
          <w:tab w:leader="none" w:pos="980" w:val="left"/>
        </w:tabs>
        <w:numPr>
          <w:ilvl w:val="0"/>
          <w:numId w:val="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income tax effects of amounts reclassified to earnings were $147 and $399 for the three and nine months ended September 30, 2026, respectively, and $1,114 and $3,281 for the three and nine months ended September 30, 2025, respectively.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the condensed consolidated financial statements.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96" w:right="1440"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4"/>
          <w:szCs w:val="14"/>
          <w:b w:val="1"/>
          <w:bCs w:val="1"/>
          <w:color w:val="auto"/>
        </w:rPr>
        <w:t>BrightSpring Health Services,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Shareholders’ Equity</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(In thousands, except share data)</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(Unaudited)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3100" w:type="dxa"/>
            <w:vAlign w:val="bottom"/>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380" w:type="dxa"/>
            <w:vAlign w:val="bottom"/>
            <w:tcBorders>
              <w:bottom w:val="single" w:sz="8" w:color="auto"/>
            </w:tcBorders>
            <w:gridSpan w:val="9"/>
          </w:tcPr>
          <w:p>
            <w:pPr>
              <w:jc w:val="right"/>
              <w:ind w:right="520"/>
              <w:spacing w:after="0"/>
              <w:rPr>
                <w:sz w:val="20"/>
                <w:szCs w:val="20"/>
                <w:color w:val="auto"/>
              </w:rPr>
            </w:pPr>
            <w:r>
              <w:rPr>
                <w:rFonts w:ascii="Times New Roman" w:cs="Times New Roman" w:eastAsia="Times New Roman" w:hAnsi="Times New Roman"/>
                <w:sz w:val="11"/>
                <w:szCs w:val="11"/>
                <w:b w:val="1"/>
                <w:bCs w:val="1"/>
                <w:color w:val="auto"/>
              </w:rPr>
              <w:t>For the Three Months Ended September 30, 2026</w:t>
            </w: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3100" w:type="dxa"/>
            <w:vAlign w:val="bottom"/>
          </w:tcPr>
          <w:p>
            <w:pPr>
              <w:spacing w:after="0"/>
              <w:rPr>
                <w:sz w:val="7"/>
                <w:szCs w:val="7"/>
                <w:color w:val="auto"/>
              </w:rPr>
            </w:pPr>
          </w:p>
        </w:tc>
        <w:tc>
          <w:tcPr>
            <w:tcW w:w="1220" w:type="dxa"/>
            <w:vAlign w:val="bottom"/>
            <w:gridSpan w:val="4"/>
            <w:vMerge w:val="restart"/>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3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60" w:type="dxa"/>
            <w:vAlign w:val="bottom"/>
            <w:gridSpan w:val="2"/>
          </w:tcPr>
          <w:p>
            <w:pPr>
              <w:jc w:val="center"/>
              <w:ind w:right="360"/>
              <w:spacing w:after="0" w:line="90" w:lineRule="exact"/>
              <w:rPr>
                <w:sz w:val="20"/>
                <w:szCs w:val="20"/>
                <w:color w:val="auto"/>
              </w:rPr>
            </w:pPr>
            <w:r>
              <w:rPr>
                <w:rFonts w:ascii="Times New Roman" w:cs="Times New Roman" w:eastAsia="Times New Roman" w:hAnsi="Times New Roman"/>
                <w:sz w:val="10"/>
                <w:szCs w:val="10"/>
                <w:b w:val="1"/>
                <w:bCs w:val="1"/>
                <w:color w:val="auto"/>
              </w:rPr>
              <w:t>Additional</w:t>
            </w:r>
          </w:p>
        </w:tc>
        <w:tc>
          <w:tcPr>
            <w:tcW w:w="80" w:type="dxa"/>
            <w:vAlign w:val="bottom"/>
          </w:tcPr>
          <w:p>
            <w:pPr>
              <w:spacing w:after="0"/>
              <w:rPr>
                <w:sz w:val="7"/>
                <w:szCs w:val="7"/>
                <w:color w:val="auto"/>
              </w:rPr>
            </w:pPr>
          </w:p>
        </w:tc>
        <w:tc>
          <w:tcPr>
            <w:tcW w:w="760" w:type="dxa"/>
            <w:vAlign w:val="bottom"/>
            <w:gridSpan w:val="2"/>
          </w:tcPr>
          <w:p>
            <w:pPr>
              <w:jc w:val="center"/>
              <w:ind w:right="240"/>
              <w:spacing w:after="0" w:line="90" w:lineRule="exact"/>
              <w:rPr>
                <w:sz w:val="20"/>
                <w:szCs w:val="20"/>
                <w:color w:val="auto"/>
              </w:rPr>
            </w:pPr>
            <w:r>
              <w:rPr>
                <w:rFonts w:ascii="Times New Roman" w:cs="Times New Roman" w:eastAsia="Times New Roman" w:hAnsi="Times New Roman"/>
                <w:sz w:val="10"/>
                <w:szCs w:val="10"/>
                <w:b w:val="1"/>
                <w:bCs w:val="1"/>
                <w:color w:val="auto"/>
              </w:rPr>
              <w:t>Retained</w:t>
            </w: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80" w:type="dxa"/>
            <w:vAlign w:val="bottom"/>
            <w:gridSpan w:val="2"/>
          </w:tcPr>
          <w:p>
            <w:pPr>
              <w:jc w:val="right"/>
              <w:ind w:right="280"/>
              <w:spacing w:after="0" w:line="90" w:lineRule="exact"/>
              <w:rPr>
                <w:sz w:val="20"/>
                <w:szCs w:val="20"/>
                <w:color w:val="auto"/>
              </w:rPr>
            </w:pPr>
            <w:r>
              <w:rPr>
                <w:rFonts w:ascii="Times New Roman" w:cs="Times New Roman" w:eastAsia="Times New Roman" w:hAnsi="Times New Roman"/>
                <w:sz w:val="10"/>
                <w:szCs w:val="10"/>
                <w:b w:val="1"/>
                <w:bCs w:val="1"/>
                <w:color w:val="auto"/>
              </w:rPr>
              <w:t>Accumulated Other</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gridSpan w:val="2"/>
          </w:tcPr>
          <w:p>
            <w:pPr>
              <w:jc w:val="right"/>
              <w:spacing w:after="0" w:line="90" w:lineRule="exact"/>
              <w:rPr>
                <w:sz w:val="20"/>
                <w:szCs w:val="20"/>
                <w:color w:val="auto"/>
              </w:rPr>
            </w:pPr>
            <w:r>
              <w:rPr>
                <w:rFonts w:ascii="Times New Roman" w:cs="Times New Roman" w:eastAsia="Times New Roman" w:hAnsi="Times New Roman"/>
                <w:sz w:val="10"/>
                <w:szCs w:val="10"/>
                <w:b w:val="1"/>
                <w:bCs w:val="1"/>
                <w:color w:val="auto"/>
              </w:rPr>
              <w:t>Noncontrolling</w:t>
            </w: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vMerge w:val="restart"/>
          </w:tcPr>
          <w:p>
            <w:pPr>
              <w:jc w:val="right"/>
              <w:ind w:right="133"/>
              <w:spacing w:after="0"/>
              <w:rPr>
                <w:sz w:val="20"/>
                <w:szCs w:val="20"/>
                <w:color w:val="auto"/>
              </w:rPr>
            </w:pPr>
            <w:r>
              <w:rPr>
                <w:rFonts w:ascii="Times New Roman" w:cs="Times New Roman" w:eastAsia="Times New Roman" w:hAnsi="Times New Roman"/>
                <w:sz w:val="11"/>
                <w:szCs w:val="11"/>
                <w:b w:val="1"/>
                <w:bCs w:val="1"/>
                <w:color w:val="auto"/>
              </w:rPr>
              <w:t>Total</w:t>
            </w:r>
          </w:p>
        </w:tc>
        <w:tc>
          <w:tcPr>
            <w:tcW w:w="10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137"/>
        </w:trPr>
        <w:tc>
          <w:tcPr>
            <w:tcW w:w="3100" w:type="dxa"/>
            <w:vAlign w:val="bottom"/>
          </w:tcPr>
          <w:p>
            <w:pPr>
              <w:spacing w:after="0"/>
              <w:rPr>
                <w:sz w:val="11"/>
                <w:szCs w:val="11"/>
                <w:color w:val="auto"/>
              </w:rPr>
            </w:pPr>
          </w:p>
        </w:tc>
        <w:tc>
          <w:tcPr>
            <w:tcW w:w="1220" w:type="dxa"/>
            <w:vAlign w:val="bottom"/>
            <w:tcBorders>
              <w:bottom w:val="single" w:sz="8" w:color="auto"/>
            </w:tcBorders>
            <w:gridSpan w:val="4"/>
            <w:vMerge w:val="continue"/>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Paid-In Capital</w:t>
            </w: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1"/>
                <w:szCs w:val="11"/>
                <w:b w:val="1"/>
                <w:bCs w:val="1"/>
                <w:color w:val="auto"/>
              </w:rPr>
              <w:t>Earnings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rPr>
              <w:t>Comprehensive Income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1"/>
                <w:szCs w:val="11"/>
                <w:b w:val="1"/>
                <w:bCs w:val="1"/>
                <w:color w:val="auto"/>
              </w:rPr>
              <w:t>Interest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Borders>
              <w:bottom w:val="single" w:sz="8" w:color="auto"/>
            </w:tcBorders>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31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Balances at June 30, 2026</w:t>
            </w:r>
          </w:p>
        </w:tc>
        <w:tc>
          <w:tcPr>
            <w:tcW w:w="840" w:type="dxa"/>
            <w:vAlign w:val="bottom"/>
            <w:tcBorders>
              <w:bottom w:val="single" w:sz="8" w:color="auto"/>
            </w:tcBorders>
          </w:tcPr>
          <w:p>
            <w:pPr>
              <w:jc w:val="right"/>
              <w:ind w:right="194"/>
              <w:spacing w:after="0" w:line="109" w:lineRule="exact"/>
              <w:rPr>
                <w:sz w:val="20"/>
                <w:szCs w:val="20"/>
                <w:color w:val="auto"/>
              </w:rPr>
            </w:pPr>
            <w:r>
              <w:rPr>
                <w:rFonts w:ascii="Times New Roman" w:cs="Times New Roman" w:eastAsia="Times New Roman" w:hAnsi="Times New Roman"/>
                <w:sz w:val="11"/>
                <w:szCs w:val="11"/>
                <w:b w:val="1"/>
                <w:bCs w:val="1"/>
                <w:color w:val="auto"/>
              </w:rPr>
              <w:t>Shares</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Borders>
              <w:bottom w:val="single" w:sz="8" w:color="auto"/>
            </w:tcBorders>
            <w:gridSpan w:val="2"/>
          </w:tcPr>
          <w:p>
            <w:pPr>
              <w:jc w:val="right"/>
              <w:spacing w:after="0" w:line="109" w:lineRule="exact"/>
              <w:rPr>
                <w:sz w:val="20"/>
                <w:szCs w:val="20"/>
                <w:color w:val="auto"/>
              </w:rPr>
            </w:pPr>
            <w:r>
              <w:rPr>
                <w:rFonts w:ascii="Times New Roman" w:cs="Times New Roman" w:eastAsia="Times New Roman" w:hAnsi="Times New Roman"/>
                <w:sz w:val="11"/>
                <w:szCs w:val="11"/>
                <w:b w:val="1"/>
                <w:bCs w:val="1"/>
                <w:color w:val="auto"/>
              </w:rPr>
              <w:t>Amount</w:t>
            </w:r>
          </w:p>
        </w:tc>
        <w:tc>
          <w:tcPr>
            <w:tcW w:w="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2,004,123</w:t>
            </w:r>
          </w:p>
        </w:tc>
        <w:tc>
          <w:tcPr>
            <w:tcW w:w="220" w:type="dxa"/>
            <w:vAlign w:val="bottom"/>
          </w:tcPr>
          <w:p>
            <w:pPr>
              <w:spacing w:after="0"/>
              <w:rPr>
                <w:sz w:val="9"/>
                <w:szCs w:val="9"/>
                <w:color w:val="auto"/>
              </w:rPr>
            </w:pPr>
          </w:p>
        </w:tc>
        <w:tc>
          <w:tcPr>
            <w:tcW w:w="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38,434</w:t>
            </w:r>
          </w:p>
        </w:tc>
        <w:tc>
          <w:tcPr>
            <w:tcW w:w="120" w:type="dxa"/>
            <w:vAlign w:val="bottom"/>
          </w:tcPr>
          <w:p>
            <w:pPr>
              <w:spacing w:after="0"/>
              <w:rPr>
                <w:sz w:val="9"/>
                <w:szCs w:val="9"/>
                <w:color w:val="auto"/>
              </w:rPr>
            </w:pPr>
          </w:p>
        </w:tc>
        <w:tc>
          <w:tcPr>
            <w:tcW w:w="2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4,185</w:t>
            </w:r>
          </w:p>
        </w:tc>
        <w:tc>
          <w:tcPr>
            <w:tcW w:w="3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2,048,78</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100" w:type="dxa"/>
            <w:vAlign w:val="bottom"/>
            <w:vMerge w:val="continue"/>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197,509,491</w:t>
            </w:r>
          </w:p>
        </w:tc>
        <w:tc>
          <w:tcPr>
            <w:tcW w:w="140" w:type="dxa"/>
            <w:vAlign w:val="bottom"/>
          </w:tcPr>
          <w:p>
            <w:pPr>
              <w:spacing w:after="0"/>
              <w:rPr>
                <w:sz w:val="11"/>
                <w:szCs w:val="11"/>
                <w:color w:val="auto"/>
              </w:rPr>
            </w:pPr>
          </w:p>
        </w:tc>
        <w:tc>
          <w:tcPr>
            <w:tcW w:w="240" w:type="dxa"/>
            <w:vAlign w:val="bottom"/>
            <w:gridSpan w:val="2"/>
          </w:tcPr>
          <w:p>
            <w:pPr>
              <w:jc w:val="right"/>
              <w:ind w:right="43"/>
              <w:spacing w:after="0" w:line="135"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1,975</w:t>
            </w:r>
          </w:p>
        </w:tc>
        <w:tc>
          <w:tcPr>
            <w:tcW w:w="320" w:type="dxa"/>
            <w:vAlign w:val="bottom"/>
            <w:gridSpan w:val="2"/>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gridSpan w:val="2"/>
            <w:vMerge w:val="continue"/>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300" w:type="dxa"/>
            <w:vAlign w:val="bottom"/>
            <w:gridSpan w:val="3"/>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260" w:type="dxa"/>
            <w:vAlign w:val="bottom"/>
            <w:gridSpan w:val="2"/>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1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xml:space="preserve">Net income </w:t>
            </w:r>
            <w:r>
              <w:rPr>
                <w:rFonts w:ascii="Times New Roman" w:cs="Times New Roman" w:eastAsia="Times New Roman" w:hAnsi="Times New Roman"/>
                <w:sz w:val="18"/>
                <w:szCs w:val="18"/>
                <w:color w:val="auto"/>
                <w:vertAlign w:val="superscript"/>
              </w:rPr>
              <w:t>(1)</w:t>
            </w: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3100" w:type="dxa"/>
            <w:vAlign w:val="bottom"/>
            <w:vMerge w:val="continue"/>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100,138</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100,145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31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9,914</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140" w:type="dxa"/>
            <w:vAlign w:val="bottom"/>
            <w:tcBorders>
              <w:right w:val="single" w:sz="8" w:color="CFF0FC"/>
            </w:tcBorders>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9,914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100" w:type="dxa"/>
            <w:vAlign w:val="bottom"/>
          </w:tcPr>
          <w:p>
            <w:pPr>
              <w:spacing w:after="0"/>
              <w:rPr>
                <w:sz w:val="20"/>
                <w:szCs w:val="20"/>
                <w:color w:val="auto"/>
              </w:rPr>
            </w:pPr>
            <w:r>
              <w:rPr>
                <w:rFonts w:ascii="Times New Roman" w:cs="Times New Roman" w:eastAsia="Times New Roman" w:hAnsi="Times New Roman"/>
                <w:sz w:val="14"/>
                <w:szCs w:val="14"/>
                <w:color w:val="auto"/>
              </w:rPr>
              <w:t>Share-based compensation</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17,871</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17,871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1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Exercise of stock options</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412,175</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4,837</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140" w:type="dxa"/>
            <w:vAlign w:val="bottom"/>
            <w:tcBorders>
              <w:right w:val="single" w:sz="8" w:color="CFF0FC"/>
            </w:tcBorders>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4,841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100" w:type="dxa"/>
            <w:vAlign w:val="bottom"/>
          </w:tcPr>
          <w:p>
            <w:pPr>
              <w:spacing w:after="0"/>
              <w:rPr>
                <w:sz w:val="20"/>
                <w:szCs w:val="20"/>
                <w:color w:val="auto"/>
              </w:rPr>
            </w:pPr>
            <w:r>
              <w:rPr>
                <w:rFonts w:ascii="Times New Roman" w:cs="Times New Roman" w:eastAsia="Times New Roman" w:hAnsi="Times New Roman"/>
                <w:sz w:val="14"/>
                <w:szCs w:val="14"/>
                <w:color w:val="auto"/>
              </w:rPr>
              <w:t>Issuance of common stock for settlement of RSUs</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175,950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1"/>
        </w:trPr>
        <w:tc>
          <w:tcPr>
            <w:tcW w:w="31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Tax effect of net share settlement of equity awards</w:t>
            </w:r>
          </w:p>
        </w:tc>
        <w:tc>
          <w:tcPr>
            <w:tcW w:w="9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(70,160)</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(4,941)</w:t>
            </w:r>
          </w:p>
        </w:tc>
        <w:tc>
          <w:tcPr>
            <w:tcW w:w="8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140" w:type="dxa"/>
            <w:vAlign w:val="bottom"/>
            <w:tcBorders>
              <w:right w:val="single" w:sz="8" w:color="CFF0FC"/>
            </w:tcBorders>
            <w:shd w:val="clear" w:color="auto" w:fill="CFF0FC"/>
          </w:tcPr>
          <w:p>
            <w:pPr>
              <w:spacing w:after="0"/>
              <w:rPr>
                <w:sz w:val="14"/>
                <w:szCs w:val="14"/>
                <w:color w:val="auto"/>
              </w:rPr>
            </w:pPr>
          </w:p>
        </w:tc>
        <w:tc>
          <w:tcPr>
            <w:tcW w:w="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(4,941)</w:t>
            </w:r>
          </w:p>
        </w:tc>
        <w:tc>
          <w:tcPr>
            <w:tcW w:w="0" w:type="dxa"/>
            <w:vAlign w:val="bottom"/>
          </w:tcPr>
          <w:p>
            <w:pPr>
              <w:spacing w:after="0"/>
              <w:rPr>
                <w:sz w:val="1"/>
                <w:szCs w:val="1"/>
                <w:color w:val="auto"/>
              </w:rPr>
            </w:pPr>
          </w:p>
        </w:tc>
      </w:tr>
      <w:tr>
        <w:trPr>
          <w:trHeight w:val="144"/>
        </w:trPr>
        <w:tc>
          <w:tcPr>
            <w:tcW w:w="310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Conversion of tangible equity units into common</w:t>
            </w:r>
          </w:p>
        </w:tc>
        <w:tc>
          <w:tcPr>
            <w:tcW w:w="84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786,864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8</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180"/>
              <w:spacing w:after="0" w:line="144" w:lineRule="exact"/>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2"/>
                <w:szCs w:val="12"/>
                <w:color w:val="auto"/>
              </w:rPr>
            </w:pPr>
          </w:p>
        </w:tc>
        <w:tc>
          <w:tcPr>
            <w:tcW w:w="760" w:type="dxa"/>
            <w:vAlign w:val="bottom"/>
            <w:gridSpan w:val="2"/>
          </w:tcPr>
          <w:p>
            <w:pPr>
              <w:jc w:val="right"/>
              <w:ind w:right="120"/>
              <w:spacing w:after="0" w:line="144"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120"/>
              <w:spacing w:after="0" w:line="144"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7"/>
        </w:trPr>
        <w:tc>
          <w:tcPr>
            <w:tcW w:w="3100" w:type="dxa"/>
            <w:vAlign w:val="bottom"/>
            <w:tcBorders>
              <w:bottom w:val="single" w:sz="8" w:color="CFF0FC"/>
            </w:tcBorders>
          </w:tcPr>
          <w:p>
            <w:pPr>
              <w:ind w:left="100"/>
              <w:spacing w:after="0"/>
              <w:rPr>
                <w:sz w:val="20"/>
                <w:szCs w:val="20"/>
                <w:color w:val="auto"/>
              </w:rPr>
            </w:pPr>
            <w:r>
              <w:rPr>
                <w:rFonts w:ascii="Times New Roman" w:cs="Times New Roman" w:eastAsia="Times New Roman" w:hAnsi="Times New Roman"/>
                <w:sz w:val="14"/>
                <w:szCs w:val="14"/>
                <w:color w:val="auto"/>
              </w:rPr>
              <w:t>stock</w:t>
            </w:r>
          </w:p>
        </w:tc>
        <w:tc>
          <w:tcPr>
            <w:tcW w:w="840" w:type="dxa"/>
            <w:vAlign w:val="bottom"/>
            <w:tcBorders>
              <w:bottom w:val="single" w:sz="8" w:color="auto"/>
            </w:tcBorders>
          </w:tcPr>
          <w:p>
            <w:pPr>
              <w:spacing w:after="0"/>
              <w:rPr>
                <w:sz w:val="15"/>
                <w:szCs w:val="15"/>
                <w:color w:val="auto"/>
              </w:rPr>
            </w:pPr>
          </w:p>
        </w:tc>
        <w:tc>
          <w:tcPr>
            <w:tcW w:w="14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2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20" w:type="dxa"/>
            <w:vAlign w:val="bottom"/>
            <w:tcBorders>
              <w:bottom w:val="single" w:sz="8" w:color="CFF0FC"/>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140" w:type="dxa"/>
            <w:vAlign w:val="bottom"/>
            <w:tcBorders>
              <w:bottom w:val="single" w:sz="8" w:color="CFF0FC"/>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3100" w:type="dxa"/>
            <w:vAlign w:val="bottom"/>
            <w:shd w:val="clear" w:color="auto" w:fill="CFF0FC"/>
          </w:tcPr>
          <w:p>
            <w:pPr>
              <w:spacing w:after="0" w:line="137" w:lineRule="exact"/>
              <w:rPr>
                <w:sz w:val="20"/>
                <w:szCs w:val="20"/>
                <w:color w:val="auto"/>
              </w:rPr>
            </w:pPr>
            <w:r>
              <w:rPr>
                <w:rFonts w:ascii="Times New Roman" w:cs="Times New Roman" w:eastAsia="Times New Roman" w:hAnsi="Times New Roman"/>
                <w:sz w:val="14"/>
                <w:szCs w:val="14"/>
                <w:color w:val="auto"/>
              </w:rPr>
              <w:t>Balances at September 30, 2026</w:t>
            </w:r>
          </w:p>
        </w:tc>
        <w:tc>
          <w:tcPr>
            <w:tcW w:w="8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3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tcBorders>
              <w:right w:val="single" w:sz="8" w:color="CFF0FC"/>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tcBorders>
              <w:right w:val="single" w:sz="8" w:color="CFF0FC"/>
            </w:tcBorders>
            <w:shd w:val="clear" w:color="auto" w:fill="CFF0FC"/>
          </w:tcPr>
          <w:p>
            <w:pPr>
              <w:spacing w:after="0"/>
              <w:rPr>
                <w:sz w:val="11"/>
                <w:szCs w:val="11"/>
                <w:color w:val="auto"/>
              </w:rPr>
            </w:pPr>
          </w:p>
        </w:tc>
        <w:tc>
          <w:tcPr>
            <w:tcW w:w="580" w:type="dxa"/>
            <w:vAlign w:val="bottom"/>
            <w:shd w:val="clear" w:color="auto" w:fill="CFF0FC"/>
          </w:tcPr>
          <w:p>
            <w:pPr>
              <w:jc w:val="right"/>
              <w:spacing w:after="0" w:line="137" w:lineRule="exact"/>
              <w:rPr>
                <w:sz w:val="20"/>
                <w:szCs w:val="20"/>
                <w:color w:val="auto"/>
              </w:rPr>
            </w:pPr>
            <w:r>
              <w:rPr>
                <w:rFonts w:ascii="Times New Roman" w:cs="Times New Roman" w:eastAsia="Times New Roman" w:hAnsi="Times New Roman"/>
                <w:sz w:val="14"/>
                <w:szCs w:val="14"/>
                <w:color w:val="auto"/>
              </w:rPr>
              <w:t>2,176,61</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310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198,814,320</w:t>
            </w:r>
          </w:p>
        </w:tc>
        <w:tc>
          <w:tcPr>
            <w:tcW w:w="140" w:type="dxa"/>
            <w:vAlign w:val="bottom"/>
            <w:shd w:val="clear" w:color="auto" w:fill="CFF0FC"/>
          </w:tcPr>
          <w:p>
            <w:pPr>
              <w:spacing w:after="0"/>
              <w:rPr>
                <w:sz w:val="17"/>
                <w:szCs w:val="17"/>
                <w:color w:val="auto"/>
              </w:rPr>
            </w:pPr>
          </w:p>
        </w:tc>
        <w:tc>
          <w:tcPr>
            <w:tcW w:w="240" w:type="dxa"/>
            <w:vAlign w:val="bottom"/>
            <w:gridSpan w:val="2"/>
            <w:shd w:val="clear" w:color="auto" w:fill="CFF0FC"/>
          </w:tcPr>
          <w:p>
            <w:pPr>
              <w:jc w:val="right"/>
              <w:ind w:right="43"/>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1,988</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2,021,881</w:t>
            </w: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138,572</w:t>
            </w:r>
          </w:p>
        </w:tc>
        <w:tc>
          <w:tcPr>
            <w:tcW w:w="120" w:type="dxa"/>
            <w:vAlign w:val="bottom"/>
            <w:shd w:val="clear" w:color="auto" w:fill="CFF0FC"/>
          </w:tcPr>
          <w:p>
            <w:pPr>
              <w:spacing w:after="0"/>
              <w:rPr>
                <w:sz w:val="17"/>
                <w:szCs w:val="17"/>
                <w:color w:val="auto"/>
              </w:rPr>
            </w:pPr>
          </w:p>
        </w:tc>
        <w:tc>
          <w:tcPr>
            <w:tcW w:w="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14,099</w:t>
            </w:r>
          </w:p>
        </w:tc>
        <w:tc>
          <w:tcPr>
            <w:tcW w:w="3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26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10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5"/>
        </w:trPr>
        <w:tc>
          <w:tcPr>
            <w:tcW w:w="310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gridSpan w:val="9"/>
          </w:tcPr>
          <w:p>
            <w:pPr>
              <w:jc w:val="right"/>
              <w:ind w:right="520"/>
              <w:spacing w:after="0"/>
              <w:rPr>
                <w:sz w:val="20"/>
                <w:szCs w:val="20"/>
                <w:color w:val="auto"/>
              </w:rPr>
            </w:pPr>
            <w:r>
              <w:rPr>
                <w:rFonts w:ascii="Times New Roman" w:cs="Times New Roman" w:eastAsia="Times New Roman" w:hAnsi="Times New Roman"/>
                <w:sz w:val="11"/>
                <w:szCs w:val="11"/>
                <w:b w:val="1"/>
                <w:bCs w:val="1"/>
                <w:color w:val="auto"/>
              </w:rPr>
              <w:t>For the Three Months Ended September 30, 2025</w:t>
            </w: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3100" w:type="dxa"/>
            <w:vAlign w:val="bottom"/>
          </w:tcPr>
          <w:p>
            <w:pPr>
              <w:spacing w:after="0"/>
              <w:rPr>
                <w:sz w:val="7"/>
                <w:szCs w:val="7"/>
                <w:color w:val="auto"/>
              </w:rPr>
            </w:pPr>
          </w:p>
        </w:tc>
        <w:tc>
          <w:tcPr>
            <w:tcW w:w="1220" w:type="dxa"/>
            <w:vAlign w:val="bottom"/>
            <w:gridSpan w:val="4"/>
            <w:vMerge w:val="restart"/>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3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60" w:type="dxa"/>
            <w:vAlign w:val="bottom"/>
            <w:gridSpan w:val="2"/>
          </w:tcPr>
          <w:p>
            <w:pPr>
              <w:jc w:val="center"/>
              <w:ind w:right="360"/>
              <w:spacing w:after="0" w:line="90" w:lineRule="exact"/>
              <w:rPr>
                <w:sz w:val="20"/>
                <w:szCs w:val="20"/>
                <w:color w:val="auto"/>
              </w:rPr>
            </w:pPr>
            <w:r>
              <w:rPr>
                <w:rFonts w:ascii="Times New Roman" w:cs="Times New Roman" w:eastAsia="Times New Roman" w:hAnsi="Times New Roman"/>
                <w:sz w:val="10"/>
                <w:szCs w:val="10"/>
                <w:b w:val="1"/>
                <w:bCs w:val="1"/>
                <w:color w:val="auto"/>
              </w:rPr>
              <w:t>Additional</w:t>
            </w:r>
          </w:p>
        </w:tc>
        <w:tc>
          <w:tcPr>
            <w:tcW w:w="840" w:type="dxa"/>
            <w:vAlign w:val="bottom"/>
            <w:gridSpan w:val="3"/>
          </w:tcPr>
          <w:p>
            <w:pPr>
              <w:ind w:left="20"/>
              <w:spacing w:after="0" w:line="90" w:lineRule="exact"/>
              <w:rPr>
                <w:sz w:val="20"/>
                <w:szCs w:val="20"/>
                <w:color w:val="auto"/>
              </w:rPr>
            </w:pPr>
            <w:r>
              <w:rPr>
                <w:rFonts w:ascii="Times New Roman" w:cs="Times New Roman" w:eastAsia="Times New Roman" w:hAnsi="Times New Roman"/>
                <w:sz w:val="10"/>
                <w:szCs w:val="10"/>
                <w:b w:val="1"/>
                <w:bCs w:val="1"/>
                <w:color w:val="auto"/>
              </w:rPr>
              <w:t>Accumulated</w:t>
            </w: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80" w:type="dxa"/>
            <w:vAlign w:val="bottom"/>
            <w:gridSpan w:val="2"/>
          </w:tcPr>
          <w:p>
            <w:pPr>
              <w:jc w:val="right"/>
              <w:ind w:right="320"/>
              <w:spacing w:after="0" w:line="90" w:lineRule="exact"/>
              <w:rPr>
                <w:sz w:val="20"/>
                <w:szCs w:val="20"/>
                <w:color w:val="auto"/>
              </w:rPr>
            </w:pPr>
            <w:r>
              <w:rPr>
                <w:rFonts w:ascii="Times New Roman" w:cs="Times New Roman" w:eastAsia="Times New Roman" w:hAnsi="Times New Roman"/>
                <w:sz w:val="10"/>
                <w:szCs w:val="10"/>
                <w:b w:val="1"/>
                <w:bCs w:val="1"/>
                <w:color w:val="auto"/>
              </w:rPr>
              <w:t>Accumulated Other</w:t>
            </w:r>
          </w:p>
        </w:tc>
        <w:tc>
          <w:tcPr>
            <w:tcW w:w="120" w:type="dxa"/>
            <w:vAlign w:val="bottom"/>
          </w:tcPr>
          <w:p>
            <w:pPr>
              <w:spacing w:after="0"/>
              <w:rPr>
                <w:sz w:val="7"/>
                <w:szCs w:val="7"/>
                <w:color w:val="auto"/>
              </w:rPr>
            </w:pPr>
          </w:p>
        </w:tc>
        <w:tc>
          <w:tcPr>
            <w:tcW w:w="880" w:type="dxa"/>
            <w:vAlign w:val="bottom"/>
            <w:gridSpan w:val="3"/>
          </w:tcPr>
          <w:p>
            <w:pPr>
              <w:jc w:val="right"/>
              <w:ind w:right="53"/>
              <w:spacing w:after="0" w:line="90" w:lineRule="exact"/>
              <w:rPr>
                <w:sz w:val="20"/>
                <w:szCs w:val="20"/>
                <w:color w:val="auto"/>
              </w:rPr>
            </w:pPr>
            <w:r>
              <w:rPr>
                <w:rFonts w:ascii="Times New Roman" w:cs="Times New Roman" w:eastAsia="Times New Roman" w:hAnsi="Times New Roman"/>
                <w:sz w:val="10"/>
                <w:szCs w:val="10"/>
                <w:b w:val="1"/>
                <w:bCs w:val="1"/>
                <w:color w:val="auto"/>
              </w:rPr>
              <w:t>Noncontrolling</w:t>
            </w: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vMerge w:val="restart"/>
          </w:tcPr>
          <w:p>
            <w:pPr>
              <w:jc w:val="right"/>
              <w:ind w:right="173"/>
              <w:spacing w:after="0"/>
              <w:rPr>
                <w:sz w:val="20"/>
                <w:szCs w:val="20"/>
                <w:color w:val="auto"/>
              </w:rPr>
            </w:pPr>
            <w:r>
              <w:rPr>
                <w:rFonts w:ascii="Times New Roman" w:cs="Times New Roman" w:eastAsia="Times New Roman" w:hAnsi="Times New Roman"/>
                <w:sz w:val="11"/>
                <w:szCs w:val="11"/>
                <w:b w:val="1"/>
                <w:bCs w:val="1"/>
                <w:color w:val="auto"/>
              </w:rPr>
              <w:t>Total</w:t>
            </w:r>
          </w:p>
        </w:tc>
        <w:tc>
          <w:tcPr>
            <w:tcW w:w="10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137"/>
        </w:trPr>
        <w:tc>
          <w:tcPr>
            <w:tcW w:w="3100" w:type="dxa"/>
            <w:vAlign w:val="bottom"/>
          </w:tcPr>
          <w:p>
            <w:pPr>
              <w:spacing w:after="0"/>
              <w:rPr>
                <w:sz w:val="11"/>
                <w:szCs w:val="11"/>
                <w:color w:val="auto"/>
              </w:rPr>
            </w:pPr>
          </w:p>
        </w:tc>
        <w:tc>
          <w:tcPr>
            <w:tcW w:w="1220" w:type="dxa"/>
            <w:vAlign w:val="bottom"/>
            <w:tcBorders>
              <w:bottom w:val="single" w:sz="8" w:color="auto"/>
            </w:tcBorders>
            <w:gridSpan w:val="4"/>
            <w:vMerge w:val="continue"/>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Paid-In Capital</w:t>
            </w: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1"/>
                <w:szCs w:val="11"/>
                <w:b w:val="1"/>
                <w:bCs w:val="1"/>
                <w:color w:val="auto"/>
              </w:rPr>
              <w:t>Comprehensive Loss</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1"/>
                <w:szCs w:val="11"/>
                <w:b w:val="1"/>
                <w:bCs w:val="1"/>
                <w:color w:val="auto"/>
              </w:rPr>
              <w:t>Interest</w:t>
            </w:r>
          </w:p>
        </w:tc>
        <w:tc>
          <w:tcPr>
            <w:tcW w:w="1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31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Balances at June 30, 2025</w:t>
            </w:r>
          </w:p>
        </w:tc>
        <w:tc>
          <w:tcPr>
            <w:tcW w:w="840" w:type="dxa"/>
            <w:vAlign w:val="bottom"/>
            <w:tcBorders>
              <w:bottom w:val="single" w:sz="8" w:color="auto"/>
            </w:tcBorders>
          </w:tcPr>
          <w:p>
            <w:pPr>
              <w:jc w:val="right"/>
              <w:ind w:right="194"/>
              <w:spacing w:after="0" w:line="109" w:lineRule="exact"/>
              <w:rPr>
                <w:sz w:val="20"/>
                <w:szCs w:val="20"/>
                <w:color w:val="auto"/>
              </w:rPr>
            </w:pPr>
            <w:r>
              <w:rPr>
                <w:rFonts w:ascii="Times New Roman" w:cs="Times New Roman" w:eastAsia="Times New Roman" w:hAnsi="Times New Roman"/>
                <w:sz w:val="11"/>
                <w:szCs w:val="11"/>
                <w:b w:val="1"/>
                <w:bCs w:val="1"/>
                <w:color w:val="auto"/>
              </w:rPr>
              <w:t>Shares</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Borders>
              <w:bottom w:val="single" w:sz="8" w:color="auto"/>
            </w:tcBorders>
            <w:gridSpan w:val="2"/>
          </w:tcPr>
          <w:p>
            <w:pPr>
              <w:jc w:val="right"/>
              <w:spacing w:after="0" w:line="109" w:lineRule="exact"/>
              <w:rPr>
                <w:sz w:val="20"/>
                <w:szCs w:val="20"/>
                <w:color w:val="auto"/>
              </w:rPr>
            </w:pPr>
            <w:r>
              <w:rPr>
                <w:rFonts w:ascii="Times New Roman" w:cs="Times New Roman" w:eastAsia="Times New Roman" w:hAnsi="Times New Roman"/>
                <w:sz w:val="11"/>
                <w:szCs w:val="11"/>
                <w:b w:val="1"/>
                <w:bCs w:val="1"/>
                <w:color w:val="auto"/>
              </w:rPr>
              <w:t>Amount</w:t>
            </w:r>
          </w:p>
        </w:tc>
        <w:tc>
          <w:tcPr>
            <w:tcW w:w="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1,909,854</w:t>
            </w:r>
          </w:p>
        </w:tc>
        <w:tc>
          <w:tcPr>
            <w:tcW w:w="220" w:type="dxa"/>
            <w:vAlign w:val="bottom"/>
          </w:tcPr>
          <w:p>
            <w:pPr>
              <w:spacing w:after="0"/>
              <w:rPr>
                <w:sz w:val="9"/>
                <w:szCs w:val="9"/>
                <w:color w:val="auto"/>
              </w:rPr>
            </w:pPr>
          </w:p>
        </w:tc>
        <w:tc>
          <w:tcPr>
            <w:tcW w:w="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(164,405)</w:t>
            </w:r>
          </w:p>
        </w:tc>
        <w:tc>
          <w:tcPr>
            <w:tcW w:w="2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(4,330)</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9"/>
                <w:szCs w:val="9"/>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(283)</w:t>
            </w:r>
          </w:p>
        </w:tc>
        <w:tc>
          <w:tcPr>
            <w:tcW w:w="2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6"/>
              </w:rPr>
              <w:t>1,742,607</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3100" w:type="dxa"/>
            <w:vAlign w:val="bottom"/>
            <w:vMerge w:val="continue"/>
          </w:tcPr>
          <w:p>
            <w:pPr>
              <w:spacing w:after="0"/>
              <w:rPr>
                <w:sz w:val="9"/>
                <w:szCs w:val="9"/>
                <w:color w:val="auto"/>
              </w:rPr>
            </w:pPr>
          </w:p>
        </w:tc>
        <w:tc>
          <w:tcPr>
            <w:tcW w:w="840" w:type="dxa"/>
            <w:vAlign w:val="bottom"/>
          </w:tcPr>
          <w:p>
            <w:pPr>
              <w:jc w:val="right"/>
              <w:spacing w:after="0" w:line="114" w:lineRule="exact"/>
              <w:rPr>
                <w:sz w:val="20"/>
                <w:szCs w:val="20"/>
                <w:color w:val="auto"/>
              </w:rPr>
            </w:pPr>
            <w:r>
              <w:rPr>
                <w:rFonts w:ascii="Times New Roman" w:cs="Times New Roman" w:eastAsia="Times New Roman" w:hAnsi="Times New Roman"/>
                <w:sz w:val="12"/>
                <w:szCs w:val="12"/>
                <w:color w:val="auto"/>
              </w:rPr>
              <w:t>177,055,327</w:t>
            </w:r>
          </w:p>
        </w:tc>
        <w:tc>
          <w:tcPr>
            <w:tcW w:w="140" w:type="dxa"/>
            <w:vAlign w:val="bottom"/>
          </w:tcPr>
          <w:p>
            <w:pPr>
              <w:spacing w:after="0"/>
              <w:rPr>
                <w:sz w:val="9"/>
                <w:szCs w:val="9"/>
                <w:color w:val="auto"/>
              </w:rPr>
            </w:pPr>
          </w:p>
        </w:tc>
        <w:tc>
          <w:tcPr>
            <w:tcW w:w="240" w:type="dxa"/>
            <w:vAlign w:val="bottom"/>
            <w:gridSpan w:val="2"/>
          </w:tcPr>
          <w:p>
            <w:pPr>
              <w:jc w:val="right"/>
              <w:ind w:right="43"/>
              <w:spacing w:after="0" w:line="114" w:lineRule="exact"/>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jc w:val="right"/>
              <w:spacing w:after="0" w:line="114" w:lineRule="exact"/>
              <w:rPr>
                <w:sz w:val="20"/>
                <w:szCs w:val="20"/>
                <w:color w:val="auto"/>
              </w:rPr>
            </w:pPr>
            <w:r>
              <w:rPr>
                <w:rFonts w:ascii="Times New Roman" w:cs="Times New Roman" w:eastAsia="Times New Roman" w:hAnsi="Times New Roman"/>
                <w:sz w:val="12"/>
                <w:szCs w:val="12"/>
                <w:color w:val="auto"/>
              </w:rPr>
              <w:t>1,771</w:t>
            </w:r>
          </w:p>
        </w:tc>
        <w:tc>
          <w:tcPr>
            <w:tcW w:w="320" w:type="dxa"/>
            <w:vAlign w:val="bottom"/>
            <w:gridSpan w:val="2"/>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200" w:type="dxa"/>
            <w:vAlign w:val="bottom"/>
            <w:gridSpan w:val="2"/>
            <w:vMerge w:val="continue"/>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2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6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9"/>
        </w:trPr>
        <w:tc>
          <w:tcPr>
            <w:tcW w:w="3100" w:type="dxa"/>
            <w:vAlign w:val="bottom"/>
          </w:tcPr>
          <w:p>
            <w:pPr>
              <w:spacing w:after="0" w:line="199" w:lineRule="exact"/>
              <w:rPr>
                <w:sz w:val="20"/>
                <w:szCs w:val="20"/>
                <w:color w:val="auto"/>
              </w:rPr>
            </w:pPr>
            <w:r>
              <w:rPr>
                <w:rFonts w:ascii="Times New Roman" w:cs="Times New Roman" w:eastAsia="Times New Roman" w:hAnsi="Times New Roman"/>
                <w:sz w:val="14"/>
                <w:szCs w:val="14"/>
                <w:color w:val="auto"/>
              </w:rPr>
              <w:t xml:space="preserve">Net income (loss) </w:t>
            </w:r>
            <w:r>
              <w:rPr>
                <w:rFonts w:ascii="Times New Roman" w:cs="Times New Roman" w:eastAsia="Times New Roman" w:hAnsi="Times New Roman"/>
                <w:sz w:val="18"/>
                <w:szCs w:val="18"/>
                <w:color w:val="auto"/>
                <w:vertAlign w:val="superscript"/>
              </w:rPr>
              <w:t>(1)</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55,836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55,696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31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(1,961)</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tcBorders>
              <w:right w:val="single" w:sz="8" w:color="CFF0FC"/>
            </w:tcBorders>
            <w:shd w:val="clear" w:color="auto" w:fill="CFF0FC"/>
          </w:tcPr>
          <w:p>
            <w:pPr>
              <w:jc w:val="right"/>
              <w:ind w:right="13"/>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140" w:type="dxa"/>
            <w:vAlign w:val="bottom"/>
            <w:tcBorders>
              <w:right w:val="single" w:sz="8" w:color="CFF0FC"/>
            </w:tcBorders>
            <w:shd w:val="clear" w:color="auto" w:fill="CFF0FC"/>
          </w:tcPr>
          <w:p>
            <w:pPr>
              <w:spacing w:after="0"/>
              <w:rPr>
                <w:sz w:val="14"/>
                <w:szCs w:val="14"/>
                <w:color w:val="auto"/>
              </w:rPr>
            </w:pPr>
          </w:p>
        </w:tc>
        <w:tc>
          <w:tcPr>
            <w:tcW w:w="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(1,961)</w:t>
            </w:r>
          </w:p>
        </w:tc>
        <w:tc>
          <w:tcPr>
            <w:tcW w:w="0" w:type="dxa"/>
            <w:vAlign w:val="bottom"/>
          </w:tcPr>
          <w:p>
            <w:pPr>
              <w:spacing w:after="0"/>
              <w:rPr>
                <w:sz w:val="1"/>
                <w:szCs w:val="1"/>
                <w:color w:val="auto"/>
              </w:rPr>
            </w:pPr>
          </w:p>
        </w:tc>
      </w:tr>
      <w:tr>
        <w:trPr>
          <w:trHeight w:val="161"/>
        </w:trPr>
        <w:tc>
          <w:tcPr>
            <w:tcW w:w="3100" w:type="dxa"/>
            <w:vAlign w:val="bottom"/>
          </w:tcPr>
          <w:p>
            <w:pPr>
              <w:spacing w:after="0"/>
              <w:rPr>
                <w:sz w:val="20"/>
                <w:szCs w:val="20"/>
                <w:color w:val="auto"/>
              </w:rPr>
            </w:pPr>
            <w:r>
              <w:rPr>
                <w:rFonts w:ascii="Times New Roman" w:cs="Times New Roman" w:eastAsia="Times New Roman" w:hAnsi="Times New Roman"/>
                <w:sz w:val="14"/>
                <w:szCs w:val="14"/>
                <w:color w:val="auto"/>
              </w:rPr>
              <w:t>Share-based compensation</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17,250</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17,250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1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Exercise of stock options</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735,483</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5,612</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tcBorders>
              <w:right w:val="single" w:sz="8" w:color="CFF0FC"/>
            </w:tcBorders>
            <w:shd w:val="clear" w:color="auto" w:fill="CFF0FC"/>
          </w:tcPr>
          <w:p>
            <w:pPr>
              <w:jc w:val="right"/>
              <w:ind w:right="13"/>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140" w:type="dxa"/>
            <w:vAlign w:val="bottom"/>
            <w:tcBorders>
              <w:right w:val="single" w:sz="8" w:color="CFF0FC"/>
            </w:tcBorders>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5,619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100" w:type="dxa"/>
            <w:vAlign w:val="bottom"/>
          </w:tcPr>
          <w:p>
            <w:pPr>
              <w:spacing w:after="0"/>
              <w:rPr>
                <w:sz w:val="20"/>
                <w:szCs w:val="20"/>
                <w:color w:val="auto"/>
              </w:rPr>
            </w:pPr>
            <w:r>
              <w:rPr>
                <w:rFonts w:ascii="Times New Roman" w:cs="Times New Roman" w:eastAsia="Times New Roman" w:hAnsi="Times New Roman"/>
                <w:sz w:val="14"/>
                <w:szCs w:val="14"/>
                <w:color w:val="auto"/>
              </w:rPr>
              <w:t>Issuance of common stock for settlement of RSUs</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115,810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1"/>
        </w:trPr>
        <w:tc>
          <w:tcPr>
            <w:tcW w:w="31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Tax effect of net share settlement of equity awards</w:t>
            </w:r>
          </w:p>
        </w:tc>
        <w:tc>
          <w:tcPr>
            <w:tcW w:w="9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(52,203)</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(1,071)</w:t>
            </w:r>
          </w:p>
        </w:tc>
        <w:tc>
          <w:tcPr>
            <w:tcW w:w="8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tcBorders>
              <w:right w:val="single" w:sz="8" w:color="CFF0FC"/>
            </w:tcBorders>
            <w:shd w:val="clear" w:color="auto" w:fill="CFF0FC"/>
          </w:tcPr>
          <w:p>
            <w:pPr>
              <w:jc w:val="right"/>
              <w:ind w:right="13"/>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140" w:type="dxa"/>
            <w:vAlign w:val="bottom"/>
            <w:tcBorders>
              <w:right w:val="single" w:sz="8" w:color="CFF0FC"/>
            </w:tcBorders>
            <w:shd w:val="clear" w:color="auto" w:fill="CFF0FC"/>
          </w:tcPr>
          <w:p>
            <w:pPr>
              <w:spacing w:after="0"/>
              <w:rPr>
                <w:sz w:val="14"/>
                <w:szCs w:val="14"/>
                <w:color w:val="auto"/>
              </w:rPr>
            </w:pPr>
          </w:p>
        </w:tc>
        <w:tc>
          <w:tcPr>
            <w:tcW w:w="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(1,071)</w:t>
            </w:r>
          </w:p>
        </w:tc>
        <w:tc>
          <w:tcPr>
            <w:tcW w:w="0" w:type="dxa"/>
            <w:vAlign w:val="bottom"/>
          </w:tcPr>
          <w:p>
            <w:pPr>
              <w:spacing w:after="0"/>
              <w:rPr>
                <w:sz w:val="1"/>
                <w:szCs w:val="1"/>
                <w:color w:val="auto"/>
              </w:rPr>
            </w:pPr>
          </w:p>
        </w:tc>
      </w:tr>
      <w:tr>
        <w:trPr>
          <w:trHeight w:val="144"/>
        </w:trPr>
        <w:tc>
          <w:tcPr>
            <w:tcW w:w="310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Conversion of tangible equity units into common</w:t>
            </w:r>
          </w:p>
        </w:tc>
        <w:tc>
          <w:tcPr>
            <w:tcW w:w="84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2,831,467</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28</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180"/>
              <w:spacing w:after="0" w:line="144" w:lineRule="exact"/>
              <w:rPr>
                <w:sz w:val="20"/>
                <w:szCs w:val="20"/>
                <w:color w:val="auto"/>
              </w:rPr>
            </w:pPr>
            <w:r>
              <w:rPr>
                <w:rFonts w:ascii="Times New Roman" w:cs="Times New Roman" w:eastAsia="Times New Roman" w:hAnsi="Times New Roman"/>
                <w:sz w:val="14"/>
                <w:szCs w:val="14"/>
                <w:color w:val="auto"/>
              </w:rPr>
              <w:t>(28)</w:t>
            </w:r>
          </w:p>
        </w:tc>
        <w:tc>
          <w:tcPr>
            <w:tcW w:w="80" w:type="dxa"/>
            <w:vAlign w:val="bottom"/>
          </w:tcPr>
          <w:p>
            <w:pPr>
              <w:spacing w:after="0"/>
              <w:rPr>
                <w:sz w:val="12"/>
                <w:szCs w:val="12"/>
                <w:color w:val="auto"/>
              </w:rPr>
            </w:pPr>
          </w:p>
        </w:tc>
        <w:tc>
          <w:tcPr>
            <w:tcW w:w="760" w:type="dxa"/>
            <w:vAlign w:val="bottom"/>
            <w:gridSpan w:val="2"/>
          </w:tcPr>
          <w:p>
            <w:pPr>
              <w:jc w:val="right"/>
              <w:ind w:right="120"/>
              <w:spacing w:after="0" w:line="144"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right"/>
              <w:ind w:right="80"/>
              <w:spacing w:after="0" w:line="144"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13"/>
              <w:spacing w:after="0" w:line="144"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120"/>
              <w:spacing w:after="0" w:line="144"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7"/>
        </w:trPr>
        <w:tc>
          <w:tcPr>
            <w:tcW w:w="31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stock</w:t>
            </w: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3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Other</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right w:val="single" w:sz="8" w:color="CFF0FC"/>
            </w:tcBorders>
            <w:shd w:val="clear" w:color="auto" w:fill="CFF0FC"/>
          </w:tcPr>
          <w:p>
            <w:pPr>
              <w:jc w:val="right"/>
              <w:ind w:right="13"/>
              <w:spacing w:after="0"/>
              <w:rPr>
                <w:sz w:val="20"/>
                <w:szCs w:val="20"/>
                <w:color w:val="auto"/>
              </w:rPr>
            </w:pPr>
            <w:r>
              <w:rPr>
                <w:rFonts w:ascii="Times New Roman" w:cs="Times New Roman" w:eastAsia="Times New Roman" w:hAnsi="Times New Roman"/>
                <w:sz w:val="14"/>
                <w:szCs w:val="14"/>
                <w:color w:val="auto"/>
              </w:rPr>
              <w:t>517</w:t>
            </w:r>
          </w:p>
        </w:tc>
        <w:tc>
          <w:tcPr>
            <w:tcW w:w="1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right w:val="single" w:sz="8" w:color="CFF0FC"/>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517</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310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Balances at September 30, 2025</w:t>
            </w:r>
          </w:p>
        </w:tc>
        <w:tc>
          <w:tcPr>
            <w:tcW w:w="84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180,685,884</w:t>
            </w:r>
          </w:p>
        </w:tc>
        <w:tc>
          <w:tcPr>
            <w:tcW w:w="140" w:type="dxa"/>
            <w:vAlign w:val="bottom"/>
          </w:tcPr>
          <w:p>
            <w:pPr>
              <w:spacing w:after="0"/>
              <w:rPr>
                <w:sz w:val="13"/>
                <w:szCs w:val="13"/>
                <w:color w:val="auto"/>
              </w:rPr>
            </w:pPr>
          </w:p>
        </w:tc>
        <w:tc>
          <w:tcPr>
            <w:tcW w:w="240" w:type="dxa"/>
            <w:vAlign w:val="bottom"/>
            <w:gridSpan w:val="2"/>
          </w:tcPr>
          <w:p>
            <w:pPr>
              <w:jc w:val="right"/>
              <w:ind w:right="43"/>
              <w:spacing w:after="0" w:line="152"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1,807</w:t>
            </w:r>
          </w:p>
        </w:tc>
        <w:tc>
          <w:tcPr>
            <w:tcW w:w="320" w:type="dxa"/>
            <w:vAlign w:val="bottom"/>
            <w:gridSpan w:val="2"/>
          </w:tcPr>
          <w:p>
            <w:pPr>
              <w:jc w:val="right"/>
              <w:spacing w:after="0" w:line="15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1,931,616</w:t>
            </w:r>
          </w:p>
        </w:tc>
        <w:tc>
          <w:tcPr>
            <w:tcW w:w="220" w:type="dxa"/>
            <w:vAlign w:val="bottom"/>
          </w:tcPr>
          <w:p>
            <w:pPr>
              <w:spacing w:after="0"/>
              <w:rPr>
                <w:sz w:val="13"/>
                <w:szCs w:val="13"/>
                <w:color w:val="auto"/>
              </w:rPr>
            </w:pPr>
          </w:p>
        </w:tc>
        <w:tc>
          <w:tcPr>
            <w:tcW w:w="8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tcPr>
          <w:p>
            <w:pPr>
              <w:jc w:val="right"/>
              <w:ind w:right="80"/>
              <w:spacing w:after="0" w:line="152" w:lineRule="exact"/>
              <w:rPr>
                <w:sz w:val="20"/>
                <w:szCs w:val="20"/>
                <w:color w:val="auto"/>
              </w:rPr>
            </w:pPr>
            <w:r>
              <w:rPr>
                <w:rFonts w:ascii="Times New Roman" w:cs="Times New Roman" w:eastAsia="Times New Roman" w:hAnsi="Times New Roman"/>
                <w:sz w:val="14"/>
                <w:szCs w:val="14"/>
                <w:color w:val="auto"/>
              </w:rPr>
              <w:t>(108,569)</w:t>
            </w:r>
          </w:p>
        </w:tc>
        <w:tc>
          <w:tcPr>
            <w:tcW w:w="200" w:type="dxa"/>
            <w:vAlign w:val="bottom"/>
            <w:gridSpan w:val="2"/>
          </w:tcPr>
          <w:p>
            <w:pPr>
              <w:jc w:val="right"/>
              <w:ind w:right="60"/>
              <w:spacing w:after="0" w:line="152" w:lineRule="exact"/>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tcPr>
          <w:p>
            <w:pPr>
              <w:jc w:val="right"/>
              <w:ind w:right="40"/>
              <w:spacing w:after="0" w:line="152" w:lineRule="exact"/>
              <w:rPr>
                <w:sz w:val="20"/>
                <w:szCs w:val="20"/>
                <w:color w:val="auto"/>
              </w:rPr>
            </w:pPr>
            <w:r>
              <w:rPr>
                <w:rFonts w:ascii="Times New Roman" w:cs="Times New Roman" w:eastAsia="Times New Roman" w:hAnsi="Times New Roman"/>
                <w:sz w:val="14"/>
                <w:szCs w:val="14"/>
                <w:color w:val="auto"/>
              </w:rPr>
              <w:t>(6,291)</w:t>
            </w:r>
          </w:p>
        </w:tc>
        <w:tc>
          <w:tcPr>
            <w:tcW w:w="200" w:type="dxa"/>
            <w:vAlign w:val="bottom"/>
            <w:gridSpan w:val="2"/>
          </w:tcPr>
          <w:p>
            <w:pPr>
              <w:jc w:val="right"/>
              <w:spacing w:after="0" w:line="15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700" w:type="dxa"/>
            <w:vAlign w:val="bottom"/>
          </w:tcPr>
          <w:p>
            <w:pPr>
              <w:jc w:val="right"/>
              <w:ind w:right="13"/>
              <w:spacing w:after="0" w:line="152" w:lineRule="exact"/>
              <w:rPr>
                <w:sz w:val="20"/>
                <w:szCs w:val="20"/>
                <w:color w:val="auto"/>
              </w:rPr>
            </w:pPr>
            <w:r>
              <w:rPr>
                <w:rFonts w:ascii="Times New Roman" w:cs="Times New Roman" w:eastAsia="Times New Roman" w:hAnsi="Times New Roman"/>
                <w:sz w:val="14"/>
                <w:szCs w:val="14"/>
                <w:color w:val="auto"/>
              </w:rPr>
              <w:t>94</w:t>
            </w:r>
          </w:p>
        </w:tc>
        <w:tc>
          <w:tcPr>
            <w:tcW w:w="260" w:type="dxa"/>
            <w:vAlign w:val="bottom"/>
            <w:gridSpan w:val="2"/>
          </w:tcPr>
          <w:p>
            <w:pPr>
              <w:jc w:val="right"/>
              <w:ind w:right="60"/>
              <w:spacing w:after="0" w:line="152"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w w:val="96"/>
              </w:rPr>
              <w:t>1,818,657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-2945130</wp:posOffset>
            </wp:positionV>
            <wp:extent cx="6546850" cy="20447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546850" cy="204470"/>
                    </a:xfrm>
                    <a:prstGeom prst="rect">
                      <a:avLst/>
                    </a:prstGeom>
                    <a:noFill/>
                  </pic:spPr>
                </pic:pic>
              </a:graphicData>
            </a:graphic>
          </wp:anchor>
        </w:drawing>
        <w:drawing>
          <wp:anchor simplePos="0" relativeHeight="251657728" behindDoc="1" locked="0" layoutInCell="0" allowOverlap="1">
            <wp:simplePos x="0" y="0"/>
            <wp:positionH relativeFrom="column">
              <wp:posOffset>2503805</wp:posOffset>
            </wp:positionH>
            <wp:positionV relativeFrom="paragraph">
              <wp:posOffset>-1711325</wp:posOffset>
            </wp:positionV>
            <wp:extent cx="67945" cy="69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2503805</wp:posOffset>
            </wp:positionH>
            <wp:positionV relativeFrom="paragraph">
              <wp:posOffset>-1697355</wp:posOffset>
            </wp:positionV>
            <wp:extent cx="67945" cy="69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2503805</wp:posOffset>
            </wp:positionH>
            <wp:positionV relativeFrom="paragraph">
              <wp:posOffset>-1922145</wp:posOffset>
            </wp:positionV>
            <wp:extent cx="67945" cy="69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2974340</wp:posOffset>
            </wp:positionH>
            <wp:positionV relativeFrom="paragraph">
              <wp:posOffset>-1711325</wp:posOffset>
            </wp:positionV>
            <wp:extent cx="67945" cy="69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2974340</wp:posOffset>
            </wp:positionH>
            <wp:positionV relativeFrom="paragraph">
              <wp:posOffset>-1697355</wp:posOffset>
            </wp:positionV>
            <wp:extent cx="67945" cy="69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2974340</wp:posOffset>
            </wp:positionH>
            <wp:positionV relativeFrom="paragraph">
              <wp:posOffset>-1922145</wp:posOffset>
            </wp:positionV>
            <wp:extent cx="67945" cy="69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3642360</wp:posOffset>
            </wp:positionH>
            <wp:positionV relativeFrom="paragraph">
              <wp:posOffset>-1711325</wp:posOffset>
            </wp:positionV>
            <wp:extent cx="67945" cy="69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3642360</wp:posOffset>
            </wp:positionH>
            <wp:positionV relativeFrom="paragraph">
              <wp:posOffset>-1697355</wp:posOffset>
            </wp:positionV>
            <wp:extent cx="67945" cy="69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3642360</wp:posOffset>
            </wp:positionH>
            <wp:positionV relativeFrom="paragraph">
              <wp:posOffset>-1922145</wp:posOffset>
            </wp:positionV>
            <wp:extent cx="67945" cy="69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4242435</wp:posOffset>
            </wp:positionH>
            <wp:positionV relativeFrom="paragraph">
              <wp:posOffset>-1711325</wp:posOffset>
            </wp:positionV>
            <wp:extent cx="61595" cy="69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4242435</wp:posOffset>
            </wp:positionH>
            <wp:positionV relativeFrom="paragraph">
              <wp:posOffset>-1697355</wp:posOffset>
            </wp:positionV>
            <wp:extent cx="61595" cy="69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4242435</wp:posOffset>
            </wp:positionH>
            <wp:positionV relativeFrom="paragraph">
              <wp:posOffset>-1922145</wp:posOffset>
            </wp:positionV>
            <wp:extent cx="61595" cy="69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5327015</wp:posOffset>
            </wp:positionH>
            <wp:positionV relativeFrom="paragraph">
              <wp:posOffset>-1711325</wp:posOffset>
            </wp:positionV>
            <wp:extent cx="61595" cy="69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5327015</wp:posOffset>
            </wp:positionH>
            <wp:positionV relativeFrom="paragraph">
              <wp:posOffset>-1697355</wp:posOffset>
            </wp:positionV>
            <wp:extent cx="61595" cy="69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5327015</wp:posOffset>
            </wp:positionH>
            <wp:positionV relativeFrom="paragraph">
              <wp:posOffset>-1922145</wp:posOffset>
            </wp:positionV>
            <wp:extent cx="61595" cy="69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-1711325</wp:posOffset>
            </wp:positionV>
            <wp:extent cx="61595" cy="69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-1697355</wp:posOffset>
            </wp:positionV>
            <wp:extent cx="61595" cy="69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-1922145</wp:posOffset>
            </wp:positionV>
            <wp:extent cx="61595" cy="69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-1711325</wp:posOffset>
            </wp:positionV>
            <wp:extent cx="61595" cy="69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-1697355</wp:posOffset>
            </wp:positionV>
            <wp:extent cx="61595" cy="69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-1922145</wp:posOffset>
            </wp:positionV>
            <wp:extent cx="61595" cy="69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-1151890</wp:posOffset>
            </wp:positionV>
            <wp:extent cx="6546850" cy="1022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546850" cy="102235"/>
                    </a:xfrm>
                    <a:prstGeom prst="rect">
                      <a:avLst/>
                    </a:prstGeom>
                    <a:noFill/>
                  </pic:spPr>
                </pic:pic>
              </a:graphicData>
            </a:graphic>
          </wp:anchor>
        </w:drawing>
        <w:drawing>
          <wp:anchor simplePos="0" relativeHeight="251657728" behindDoc="1" locked="0" layoutInCell="0" allowOverlap="1">
            <wp:simplePos x="0" y="0"/>
            <wp:positionH relativeFrom="column">
              <wp:posOffset>2503805</wp:posOffset>
            </wp:positionH>
            <wp:positionV relativeFrom="paragraph">
              <wp:posOffset>-128905</wp:posOffset>
            </wp:positionV>
            <wp:extent cx="67945" cy="69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2974340</wp:posOffset>
            </wp:positionH>
            <wp:positionV relativeFrom="paragraph">
              <wp:posOffset>-128905</wp:posOffset>
            </wp:positionV>
            <wp:extent cx="67945" cy="69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3642360</wp:posOffset>
            </wp:positionH>
            <wp:positionV relativeFrom="paragraph">
              <wp:posOffset>-128905</wp:posOffset>
            </wp:positionV>
            <wp:extent cx="67945" cy="69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4242435</wp:posOffset>
            </wp:positionH>
            <wp:positionV relativeFrom="paragraph">
              <wp:posOffset>-128905</wp:posOffset>
            </wp:positionV>
            <wp:extent cx="61595" cy="69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5272405</wp:posOffset>
            </wp:positionH>
            <wp:positionV relativeFrom="paragraph">
              <wp:posOffset>-128905</wp:posOffset>
            </wp:positionV>
            <wp:extent cx="61595" cy="69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-128905</wp:posOffset>
            </wp:positionV>
            <wp:extent cx="61595" cy="69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-128905</wp:posOffset>
            </wp:positionV>
            <wp:extent cx="61595" cy="69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1595" cy="6985"/>
                    </a:xfrm>
                    <a:prstGeom prst="rect">
                      <a:avLst/>
                    </a:prstGeom>
                    <a:noFill/>
                  </pic:spPr>
                </pic:pic>
              </a:graphicData>
            </a:graphic>
          </wp:anchor>
        </w:drawing>
      </w:r>
    </w:p>
    <w:p>
      <w:pPr>
        <w:spacing w:after="0" w:line="141" w:lineRule="exact"/>
        <w:rPr>
          <w:sz w:val="20"/>
          <w:szCs w:val="20"/>
          <w:color w:val="auto"/>
        </w:rPr>
      </w:pPr>
    </w:p>
    <w:p>
      <w:pPr>
        <w:ind w:right="260" w:firstLine="1"/>
        <w:spacing w:after="0" w:line="286" w:lineRule="auto"/>
        <w:tabs>
          <w:tab w:leader="none" w:pos="133" w:val="left"/>
        </w:tabs>
        <w:numPr>
          <w:ilvl w:val="0"/>
          <w:numId w:val="6"/>
        </w:numPr>
        <w:rPr>
          <w:rFonts w:ascii="Times New Roman" w:cs="Times New Roman" w:eastAsia="Times New Roman" w:hAnsi="Times New Roman"/>
          <w:sz w:val="9"/>
          <w:szCs w:val="9"/>
          <w:color w:val="auto"/>
        </w:rPr>
      </w:pPr>
      <w:r>
        <w:rPr>
          <w:rFonts w:ascii="Times New Roman" w:cs="Times New Roman" w:eastAsia="Times New Roman" w:hAnsi="Times New Roman"/>
          <w:sz w:val="13"/>
          <w:szCs w:val="13"/>
          <w:color w:val="auto"/>
        </w:rPr>
        <w:t>Net income (loss) to the Company for the three months ended September 30, 2026 and 2025 excludes $154 and $(455), respectively, allocable to the redeemable noncontrolling interests for our joint venture arrangements.</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-338455</wp:posOffset>
            </wp:positionH>
            <wp:positionV relativeFrom="paragraph">
              <wp:posOffset>385445</wp:posOffset>
            </wp:positionV>
            <wp:extent cx="722249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22490" cy="38735"/>
                    </a:xfrm>
                    <a:prstGeom prst="rect">
                      <a:avLst/>
                    </a:prstGeom>
                    <a:noFill/>
                  </pic:spPr>
                </pic:pic>
              </a:graphicData>
            </a:graphic>
          </wp:anchor>
        </w:drawing>
      </w:r>
    </w:p>
    <w:p>
      <w:pPr>
        <w:sectPr>
          <w:pgSz w:w="11900" w:h="16838" w:orient="portrait"/>
          <w:cols w:equalWidth="0" w:num="1">
            <w:col w:w="10320"/>
          </w:cols>
          <w:pgMar w:left="820" w:top="896" w:right="75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4"/>
          <w:szCs w:val="14"/>
          <w:b w:val="1"/>
          <w:bCs w:val="1"/>
          <w:color w:val="auto"/>
        </w:rPr>
        <w:t>BrightSpring Health Services,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Shareholders’ Equity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(In thousands, except share data)</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(Unaudited)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2480" w:type="dxa"/>
            <w:vAlign w:val="bottom"/>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3400" w:type="dxa"/>
            <w:vAlign w:val="bottom"/>
            <w:tcBorders>
              <w:bottom w:val="single" w:sz="8" w:color="auto"/>
            </w:tcBorders>
            <w:gridSpan w:val="7"/>
          </w:tcPr>
          <w:p>
            <w:pPr>
              <w:jc w:val="right"/>
              <w:ind w:right="1000"/>
              <w:spacing w:after="0"/>
              <w:rPr>
                <w:sz w:val="20"/>
                <w:szCs w:val="20"/>
                <w:color w:val="auto"/>
              </w:rPr>
            </w:pPr>
            <w:r>
              <w:rPr>
                <w:rFonts w:ascii="Times New Roman" w:cs="Times New Roman" w:eastAsia="Times New Roman" w:hAnsi="Times New Roman"/>
                <w:sz w:val="11"/>
                <w:szCs w:val="11"/>
                <w:b w:val="1"/>
                <w:bCs w:val="1"/>
                <w:color w:val="auto"/>
              </w:rPr>
              <w:t>For the Nine Months Ended September 30, 2026</w:t>
            </w: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480" w:type="dxa"/>
            <w:vAlign w:val="bottom"/>
          </w:tcPr>
          <w:p>
            <w:pPr>
              <w:spacing w:after="0"/>
              <w:rPr>
                <w:sz w:val="7"/>
                <w:szCs w:val="7"/>
                <w:color w:val="auto"/>
              </w:rPr>
            </w:pPr>
          </w:p>
        </w:tc>
        <w:tc>
          <w:tcPr>
            <w:tcW w:w="1220" w:type="dxa"/>
            <w:vAlign w:val="bottom"/>
            <w:gridSpan w:val="3"/>
            <w:vMerge w:val="restart"/>
          </w:tcPr>
          <w:p>
            <w:pPr>
              <w:jc w:val="right"/>
              <w:ind w:right="5"/>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jc w:val="center"/>
              <w:ind w:right="77"/>
              <w:spacing w:after="0" w:line="90" w:lineRule="exact"/>
              <w:rPr>
                <w:sz w:val="20"/>
                <w:szCs w:val="20"/>
                <w:color w:val="auto"/>
              </w:rPr>
            </w:pPr>
            <w:r>
              <w:rPr>
                <w:rFonts w:ascii="Times New Roman" w:cs="Times New Roman" w:eastAsia="Times New Roman" w:hAnsi="Times New Roman"/>
                <w:sz w:val="10"/>
                <w:szCs w:val="10"/>
                <w:b w:val="1"/>
                <w:bCs w:val="1"/>
                <w:color w:val="auto"/>
              </w:rPr>
              <w:t>Additional</w:t>
            </w:r>
          </w:p>
        </w:tc>
        <w:tc>
          <w:tcPr>
            <w:tcW w:w="200" w:type="dxa"/>
            <w:vAlign w:val="bottom"/>
          </w:tcPr>
          <w:p>
            <w:pPr>
              <w:spacing w:after="0"/>
              <w:rPr>
                <w:sz w:val="7"/>
                <w:szCs w:val="7"/>
                <w:color w:val="auto"/>
              </w:rPr>
            </w:pPr>
          </w:p>
        </w:tc>
        <w:tc>
          <w:tcPr>
            <w:tcW w:w="1440" w:type="dxa"/>
            <w:vAlign w:val="bottom"/>
            <w:gridSpan w:val="3"/>
          </w:tcPr>
          <w:p>
            <w:pPr>
              <w:jc w:val="right"/>
              <w:ind w:right="300"/>
              <w:spacing w:after="0" w:line="90" w:lineRule="exact"/>
              <w:rPr>
                <w:sz w:val="20"/>
                <w:szCs w:val="20"/>
                <w:color w:val="auto"/>
              </w:rPr>
            </w:pPr>
            <w:r>
              <w:rPr>
                <w:rFonts w:ascii="Times New Roman" w:cs="Times New Roman" w:eastAsia="Times New Roman" w:hAnsi="Times New Roman"/>
                <w:sz w:val="10"/>
                <w:szCs w:val="10"/>
                <w:b w:val="1"/>
                <w:bCs w:val="1"/>
                <w:color w:val="auto"/>
              </w:rPr>
              <w:t>(Accumulated Deficit)</w:t>
            </w:r>
          </w:p>
        </w:tc>
        <w:tc>
          <w:tcPr>
            <w:tcW w:w="180" w:type="dxa"/>
            <w:vAlign w:val="bottom"/>
          </w:tcPr>
          <w:p>
            <w:pPr>
              <w:spacing w:after="0"/>
              <w:rPr>
                <w:sz w:val="7"/>
                <w:szCs w:val="7"/>
                <w:color w:val="auto"/>
              </w:rPr>
            </w:pPr>
          </w:p>
        </w:tc>
        <w:tc>
          <w:tcPr>
            <w:tcW w:w="1580" w:type="dxa"/>
            <w:vAlign w:val="bottom"/>
            <w:gridSpan w:val="2"/>
          </w:tcPr>
          <w:p>
            <w:pPr>
              <w:jc w:val="center"/>
              <w:ind w:right="420"/>
              <w:spacing w:after="0" w:line="90" w:lineRule="exact"/>
              <w:rPr>
                <w:sz w:val="20"/>
                <w:szCs w:val="20"/>
                <w:color w:val="auto"/>
              </w:rPr>
            </w:pPr>
            <w:r>
              <w:rPr>
                <w:rFonts w:ascii="Times New Roman" w:cs="Times New Roman" w:eastAsia="Times New Roman" w:hAnsi="Times New Roman"/>
                <w:sz w:val="10"/>
                <w:szCs w:val="10"/>
                <w:b w:val="1"/>
                <w:bCs w:val="1"/>
                <w:color w:val="auto"/>
              </w:rPr>
              <w:t>Accumulated Other</w:t>
            </w:r>
          </w:p>
        </w:tc>
        <w:tc>
          <w:tcPr>
            <w:tcW w:w="1020" w:type="dxa"/>
            <w:vAlign w:val="bottom"/>
            <w:gridSpan w:val="3"/>
          </w:tcPr>
          <w:p>
            <w:pPr>
              <w:ind w:left="20"/>
              <w:spacing w:after="0" w:line="90" w:lineRule="exact"/>
              <w:rPr>
                <w:sz w:val="20"/>
                <w:szCs w:val="20"/>
                <w:color w:val="auto"/>
              </w:rPr>
            </w:pPr>
            <w:r>
              <w:rPr>
                <w:rFonts w:ascii="Times New Roman" w:cs="Times New Roman" w:eastAsia="Times New Roman" w:hAnsi="Times New Roman"/>
                <w:sz w:val="10"/>
                <w:szCs w:val="10"/>
                <w:b w:val="1"/>
                <w:bCs w:val="1"/>
                <w:color w:val="auto"/>
              </w:rPr>
              <w:t>Noncontrolling</w:t>
            </w:r>
          </w:p>
        </w:tc>
        <w:tc>
          <w:tcPr>
            <w:tcW w:w="100" w:type="dxa"/>
            <w:vAlign w:val="bottom"/>
          </w:tcPr>
          <w:p>
            <w:pPr>
              <w:spacing w:after="0"/>
              <w:rPr>
                <w:sz w:val="7"/>
                <w:szCs w:val="7"/>
                <w:color w:val="auto"/>
              </w:rPr>
            </w:pPr>
          </w:p>
        </w:tc>
        <w:tc>
          <w:tcPr>
            <w:tcW w:w="68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37"/>
        </w:trPr>
        <w:tc>
          <w:tcPr>
            <w:tcW w:w="2480" w:type="dxa"/>
            <w:vAlign w:val="bottom"/>
          </w:tcPr>
          <w:p>
            <w:pPr>
              <w:spacing w:after="0"/>
              <w:rPr>
                <w:sz w:val="11"/>
                <w:szCs w:val="11"/>
                <w:color w:val="auto"/>
              </w:rPr>
            </w:pPr>
          </w:p>
        </w:tc>
        <w:tc>
          <w:tcPr>
            <w:tcW w:w="1220" w:type="dxa"/>
            <w:vAlign w:val="bottom"/>
            <w:gridSpan w:val="3"/>
            <w:vMerge w:val="continue"/>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Paid-In Capital</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gridSpan w:val="2"/>
          </w:tcPr>
          <w:p>
            <w:pPr>
              <w:jc w:val="right"/>
              <w:ind w:right="360"/>
              <w:spacing w:after="0"/>
              <w:rPr>
                <w:sz w:val="20"/>
                <w:szCs w:val="20"/>
                <w:color w:val="auto"/>
              </w:rPr>
            </w:pPr>
            <w:r>
              <w:rPr>
                <w:rFonts w:ascii="Times New Roman" w:cs="Times New Roman" w:eastAsia="Times New Roman" w:hAnsi="Times New Roman"/>
                <w:sz w:val="11"/>
                <w:szCs w:val="11"/>
                <w:b w:val="1"/>
                <w:bCs w:val="1"/>
                <w:color w:val="auto"/>
              </w:rPr>
              <w:t>Retained Earnings</w:t>
            </w:r>
          </w:p>
        </w:tc>
        <w:tc>
          <w:tcPr>
            <w:tcW w:w="1760" w:type="dxa"/>
            <w:vAlign w:val="bottom"/>
            <w:gridSpan w:val="3"/>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Comprehensive (Loss) Income</w:t>
            </w:r>
          </w:p>
        </w:tc>
        <w:tc>
          <w:tcPr>
            <w:tcW w:w="140" w:type="dxa"/>
            <w:vAlign w:val="bottom"/>
          </w:tcPr>
          <w:p>
            <w:pPr>
              <w:spacing w:after="0"/>
              <w:rPr>
                <w:sz w:val="11"/>
                <w:szCs w:val="11"/>
                <w:color w:val="auto"/>
              </w:rPr>
            </w:pPr>
          </w:p>
        </w:tc>
        <w:tc>
          <w:tcPr>
            <w:tcW w:w="880" w:type="dxa"/>
            <w:vAlign w:val="bottom"/>
            <w:gridSpan w:val="2"/>
          </w:tcPr>
          <w:p>
            <w:pPr>
              <w:jc w:val="right"/>
              <w:ind w:right="440"/>
              <w:spacing w:after="0"/>
              <w:rPr>
                <w:sz w:val="20"/>
                <w:szCs w:val="20"/>
                <w:color w:val="auto"/>
              </w:rPr>
            </w:pPr>
            <w:r>
              <w:rPr>
                <w:rFonts w:ascii="Times New Roman" w:cs="Times New Roman" w:eastAsia="Times New Roman" w:hAnsi="Times New Roman"/>
                <w:sz w:val="11"/>
                <w:szCs w:val="11"/>
                <w:b w:val="1"/>
                <w:bCs w:val="1"/>
                <w:color w:val="auto"/>
              </w:rPr>
              <w:t>Interest</w:t>
            </w:r>
          </w:p>
        </w:tc>
        <w:tc>
          <w:tcPr>
            <w:tcW w:w="10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2480" w:type="dxa"/>
            <w:vAlign w:val="bottom"/>
          </w:tcPr>
          <w:p>
            <w:pPr>
              <w:spacing w:after="0"/>
              <w:rPr>
                <w:sz w:val="9"/>
                <w:szCs w:val="9"/>
                <w:color w:val="auto"/>
              </w:rPr>
            </w:pPr>
          </w:p>
        </w:tc>
        <w:tc>
          <w:tcPr>
            <w:tcW w:w="1060" w:type="dxa"/>
            <w:vAlign w:val="bottom"/>
            <w:tcBorders>
              <w:top w:val="single" w:sz="8" w:color="auto"/>
            </w:tcBorders>
            <w:gridSpan w:val="2"/>
          </w:tcPr>
          <w:p>
            <w:pPr>
              <w:jc w:val="right"/>
              <w:ind w:right="480"/>
              <w:spacing w:after="0" w:line="109" w:lineRule="exact"/>
              <w:rPr>
                <w:sz w:val="20"/>
                <w:szCs w:val="20"/>
                <w:color w:val="auto"/>
              </w:rPr>
            </w:pPr>
            <w:r>
              <w:rPr>
                <w:rFonts w:ascii="Times New Roman" w:cs="Times New Roman" w:eastAsia="Times New Roman" w:hAnsi="Times New Roman"/>
                <w:sz w:val="11"/>
                <w:szCs w:val="11"/>
                <w:b w:val="1"/>
                <w:bCs w:val="1"/>
                <w:color w:val="auto"/>
              </w:rPr>
              <w:t>Shares</w:t>
            </w:r>
          </w:p>
        </w:tc>
        <w:tc>
          <w:tcPr>
            <w:tcW w:w="520" w:type="dxa"/>
            <w:vAlign w:val="bottom"/>
            <w:tcBorders>
              <w:top w:val="single" w:sz="8" w:color="auto"/>
            </w:tcBorders>
            <w:gridSpan w:val="2"/>
          </w:tcPr>
          <w:p>
            <w:pPr>
              <w:jc w:val="right"/>
              <w:spacing w:after="0" w:line="109" w:lineRule="exact"/>
              <w:rPr>
                <w:sz w:val="20"/>
                <w:szCs w:val="20"/>
                <w:color w:val="auto"/>
              </w:rPr>
            </w:pPr>
            <w:r>
              <w:rPr>
                <w:rFonts w:ascii="Times New Roman" w:cs="Times New Roman" w:eastAsia="Times New Roman" w:hAnsi="Times New Roman"/>
                <w:sz w:val="11"/>
                <w:szCs w:val="11"/>
                <w:b w:val="1"/>
                <w:bCs w:val="1"/>
                <w:color w:val="auto"/>
              </w:rPr>
              <w:t>Amount</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14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138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2"/>
        </w:trPr>
        <w:tc>
          <w:tcPr>
            <w:tcW w:w="24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Balances at December 31, 2025</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192,124,125</w:t>
            </w:r>
          </w:p>
        </w:tc>
        <w:tc>
          <w:tcPr>
            <w:tcW w:w="220" w:type="dxa"/>
            <w:vAlign w:val="bottom"/>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1,921</w:t>
            </w:r>
          </w:p>
        </w:tc>
        <w:tc>
          <w:tcPr>
            <w:tcW w:w="120" w:type="dxa"/>
            <w:vAlign w:val="bottom"/>
            <w:shd w:val="clear" w:color="auto" w:fill="CFF0FC"/>
          </w:tcPr>
          <w:p>
            <w:pPr>
              <w:spacing w:after="0"/>
              <w:rPr>
                <w:sz w:val="13"/>
                <w:szCs w:val="13"/>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1,954,482</w:t>
            </w:r>
          </w:p>
        </w:tc>
        <w:tc>
          <w:tcPr>
            <w:tcW w:w="300" w:type="dxa"/>
            <w:vAlign w:val="bottom"/>
            <w:tcBorders>
              <w:lef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(74,647)</w:t>
            </w:r>
          </w:p>
        </w:tc>
        <w:tc>
          <w:tcPr>
            <w:tcW w:w="18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(6,691)</w:t>
            </w:r>
          </w:p>
        </w:tc>
        <w:tc>
          <w:tcPr>
            <w:tcW w:w="140" w:type="dxa"/>
            <w:vAlign w:val="bottom"/>
            <w:shd w:val="clear" w:color="auto" w:fill="CFF0FC"/>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74</w:t>
            </w:r>
          </w:p>
        </w:tc>
        <w:tc>
          <w:tcPr>
            <w:tcW w:w="220" w:type="dxa"/>
            <w:vAlign w:val="bottom"/>
            <w:tcBorders>
              <w:left w:val="single" w:sz="8" w:color="CFF0FC"/>
              <w:right w:val="single" w:sz="8" w:color="CFF0FC"/>
            </w:tcBorders>
            <w:shd w:val="clear" w:color="auto" w:fill="CFF0FC"/>
          </w:tcPr>
          <w:p>
            <w:pPr>
              <w:spacing w:after="0"/>
              <w:rPr>
                <w:sz w:val="13"/>
                <w:szCs w:val="13"/>
                <w:color w:val="auto"/>
              </w:rPr>
            </w:pPr>
          </w:p>
        </w:tc>
        <w:tc>
          <w:tcPr>
            <w:tcW w:w="10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5"/>
                <w:szCs w:val="5"/>
                <w:color w:val="auto"/>
                <w:w w:val="7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1,875,139</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480" w:type="dxa"/>
            <w:vAlign w:val="bottom"/>
          </w:tcPr>
          <w:p>
            <w:pPr>
              <w:spacing w:after="0" w:line="161" w:lineRule="exact"/>
              <w:rPr>
                <w:sz w:val="20"/>
                <w:szCs w:val="20"/>
                <w:color w:val="auto"/>
              </w:rPr>
            </w:pPr>
            <w:r>
              <w:rPr>
                <w:rFonts w:ascii="Times New Roman" w:cs="Times New Roman" w:eastAsia="Times New Roman" w:hAnsi="Times New Roman"/>
                <w:sz w:val="13"/>
                <w:szCs w:val="13"/>
                <w:color w:val="auto"/>
              </w:rPr>
              <w:t xml:space="preserve">Net income </w:t>
            </w:r>
            <w:r>
              <w:rPr>
                <w:rFonts w:ascii="Times New Roman" w:cs="Times New Roman" w:eastAsia="Times New Roman" w:hAnsi="Times New Roman"/>
                <w:sz w:val="17"/>
                <w:szCs w:val="17"/>
                <w:color w:val="auto"/>
                <w:vertAlign w:val="superscript"/>
              </w:rPr>
              <w:t>(1)</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333,195</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333,209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4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Other comprehensive income, net of tax</w:t>
            </w:r>
          </w:p>
        </w:tc>
        <w:tc>
          <w:tcPr>
            <w:tcW w:w="10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4"/>
                <w:szCs w:val="14"/>
                <w:color w:val="auto"/>
              </w:rPr>
            </w:pPr>
          </w:p>
        </w:tc>
        <w:tc>
          <w:tcPr>
            <w:tcW w:w="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lef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34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20,790</w:t>
            </w:r>
          </w:p>
        </w:tc>
        <w:tc>
          <w:tcPr>
            <w:tcW w:w="200" w:type="dxa"/>
            <w:vAlign w:val="bottom"/>
            <w:tcBorders>
              <w:left w:val="single" w:sz="8" w:color="CFF0FC"/>
              <w:righ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tcBorders>
              <w:righ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20,790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480" w:type="dxa"/>
            <w:vAlign w:val="bottom"/>
          </w:tcPr>
          <w:p>
            <w:pPr>
              <w:spacing w:after="0"/>
              <w:rPr>
                <w:sz w:val="20"/>
                <w:szCs w:val="20"/>
                <w:color w:val="auto"/>
              </w:rPr>
            </w:pPr>
            <w:r>
              <w:rPr>
                <w:rFonts w:ascii="Times New Roman" w:cs="Times New Roman" w:eastAsia="Times New Roman" w:hAnsi="Times New Roman"/>
                <w:sz w:val="13"/>
                <w:szCs w:val="13"/>
                <w:color w:val="auto"/>
              </w:rPr>
              <w:t>Share-based compensation</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41,040</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41,040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4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Exercise of stock options</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4,352,198</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37,213</w:t>
            </w:r>
          </w:p>
        </w:tc>
        <w:tc>
          <w:tcPr>
            <w:tcW w:w="200" w:type="dxa"/>
            <w:vAlign w:val="bottom"/>
            <w:tcBorders>
              <w:lef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34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4"/>
                <w:szCs w:val="14"/>
                <w:color w:val="auto"/>
              </w:rPr>
            </w:pPr>
          </w:p>
        </w:tc>
        <w:tc>
          <w:tcPr>
            <w:tcW w:w="1580" w:type="dxa"/>
            <w:vAlign w:val="bottom"/>
            <w:tcBorders>
              <w:righ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880" w:type="dxa"/>
            <w:vAlign w:val="bottom"/>
            <w:tcBorders>
              <w:righ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37,256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2480" w:type="dxa"/>
            <w:vAlign w:val="bottom"/>
          </w:tcPr>
          <w:p>
            <w:pPr>
              <w:spacing w:after="0"/>
              <w:rPr>
                <w:sz w:val="20"/>
                <w:szCs w:val="20"/>
                <w:color w:val="auto"/>
              </w:rPr>
            </w:pPr>
            <w:r>
              <w:rPr>
                <w:rFonts w:ascii="Times New Roman" w:cs="Times New Roman" w:eastAsia="Times New Roman" w:hAnsi="Times New Roman"/>
                <w:sz w:val="13"/>
                <w:szCs w:val="13"/>
                <w:color w:val="auto"/>
              </w:rPr>
              <w:t>Issuance of common stock for settlement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1,748,824</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9"/>
        </w:trPr>
        <w:tc>
          <w:tcPr>
            <w:tcW w:w="24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of RSUs</w:t>
            </w: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4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Tax effect of net share settlement of equity</w:t>
            </w:r>
          </w:p>
        </w:tc>
        <w:tc>
          <w:tcPr>
            <w:tcW w:w="10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(232,565)</w:t>
            </w:r>
          </w:p>
        </w:tc>
        <w:tc>
          <w:tcPr>
            <w:tcW w:w="160" w:type="dxa"/>
            <w:vAlign w:val="bottom"/>
            <w:shd w:val="clear" w:color="auto" w:fill="CFF0FC"/>
          </w:tcPr>
          <w:p>
            <w:pPr>
              <w:spacing w:after="0"/>
              <w:rPr>
                <w:sz w:val="13"/>
                <w:szCs w:val="13"/>
                <w:color w:val="auto"/>
              </w:rPr>
            </w:pPr>
          </w:p>
        </w:tc>
        <w:tc>
          <w:tcPr>
            <w:tcW w:w="4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(11,546)</w:t>
            </w:r>
          </w:p>
        </w:tc>
        <w:tc>
          <w:tcPr>
            <w:tcW w:w="200" w:type="dxa"/>
            <w:vAlign w:val="bottom"/>
            <w:tcBorders>
              <w:left w:val="single" w:sz="8" w:color="CFF0FC"/>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34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1580" w:type="dxa"/>
            <w:vAlign w:val="bottom"/>
            <w:tcBorders>
              <w:righ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880" w:type="dxa"/>
            <w:vAlign w:val="bottom"/>
            <w:tcBorders>
              <w:righ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(11,548)</w:t>
            </w:r>
          </w:p>
        </w:tc>
        <w:tc>
          <w:tcPr>
            <w:tcW w:w="0" w:type="dxa"/>
            <w:vAlign w:val="bottom"/>
          </w:tcPr>
          <w:p>
            <w:pPr>
              <w:spacing w:after="0"/>
              <w:rPr>
                <w:sz w:val="1"/>
                <w:szCs w:val="1"/>
                <w:color w:val="auto"/>
              </w:rPr>
            </w:pPr>
          </w:p>
        </w:tc>
      </w:tr>
      <w:tr>
        <w:trPr>
          <w:trHeight w:val="172"/>
        </w:trPr>
        <w:tc>
          <w:tcPr>
            <w:tcW w:w="24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awards</w:t>
            </w:r>
          </w:p>
        </w:tc>
        <w:tc>
          <w:tcPr>
            <w:tcW w:w="8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00" w:type="dxa"/>
            <w:vAlign w:val="bottom"/>
            <w:tcBorders>
              <w:lef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200" w:type="dxa"/>
            <w:vAlign w:val="bottom"/>
            <w:tcBorders>
              <w:left w:val="single" w:sz="8" w:color="CFF0FC"/>
              <w:right w:val="single" w:sz="8" w:color="CFF0FC"/>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80" w:type="dxa"/>
            <w:vAlign w:val="bottom"/>
            <w:shd w:val="clear" w:color="auto" w:fill="CFF0FC"/>
          </w:tcPr>
          <w:p>
            <w:pPr>
              <w:spacing w:after="0"/>
              <w:rPr>
                <w:sz w:val="14"/>
                <w:szCs w:val="14"/>
                <w:color w:val="auto"/>
              </w:rPr>
            </w:pPr>
          </w:p>
        </w:tc>
        <w:tc>
          <w:tcPr>
            <w:tcW w:w="200" w:type="dxa"/>
            <w:vAlign w:val="bottom"/>
            <w:tcBorders>
              <w:left w:val="single" w:sz="8" w:color="CFF0FC"/>
              <w:righ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20" w:type="dxa"/>
            <w:vAlign w:val="bottom"/>
            <w:tcBorders>
              <w:left w:val="single" w:sz="8" w:color="CFF0FC"/>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2480" w:type="dxa"/>
            <w:vAlign w:val="bottom"/>
          </w:tcPr>
          <w:p>
            <w:pPr>
              <w:spacing w:after="0"/>
              <w:rPr>
                <w:sz w:val="20"/>
                <w:szCs w:val="20"/>
                <w:color w:val="auto"/>
              </w:rPr>
            </w:pPr>
            <w:r>
              <w:rPr>
                <w:rFonts w:ascii="Times New Roman" w:cs="Times New Roman" w:eastAsia="Times New Roman" w:hAnsi="Times New Roman"/>
                <w:sz w:val="13"/>
                <w:szCs w:val="13"/>
                <w:color w:val="auto"/>
              </w:rPr>
              <w:t>Conversion of tangible equity units into</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3,313,010</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9"/>
        </w:trPr>
        <w:tc>
          <w:tcPr>
            <w:tcW w:w="24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common stock</w:t>
            </w: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4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Share repurchases</w:t>
            </w:r>
          </w:p>
        </w:tc>
        <w:tc>
          <w:tcPr>
            <w:tcW w:w="10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(2,491,272)</w:t>
            </w:r>
          </w:p>
        </w:tc>
        <w:tc>
          <w:tcPr>
            <w:tcW w:w="160" w:type="dxa"/>
            <w:vAlign w:val="bottom"/>
            <w:shd w:val="clear" w:color="auto" w:fill="CFF0FC"/>
          </w:tcPr>
          <w:p>
            <w:pPr>
              <w:spacing w:after="0"/>
              <w:rPr>
                <w:sz w:val="14"/>
                <w:szCs w:val="14"/>
                <w:color w:val="auto"/>
              </w:rPr>
            </w:pPr>
          </w:p>
        </w:tc>
        <w:tc>
          <w:tcPr>
            <w:tcW w:w="4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(24)</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lef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34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(119,976)</w:t>
            </w:r>
          </w:p>
        </w:tc>
        <w:tc>
          <w:tcPr>
            <w:tcW w:w="180" w:type="dxa"/>
            <w:vAlign w:val="bottom"/>
            <w:shd w:val="clear" w:color="auto" w:fill="CFF0FC"/>
          </w:tcPr>
          <w:p>
            <w:pPr>
              <w:spacing w:after="0"/>
              <w:rPr>
                <w:sz w:val="14"/>
                <w:szCs w:val="14"/>
                <w:color w:val="auto"/>
              </w:rPr>
            </w:pPr>
          </w:p>
        </w:tc>
        <w:tc>
          <w:tcPr>
            <w:tcW w:w="1580" w:type="dxa"/>
            <w:vAlign w:val="bottom"/>
            <w:tcBorders>
              <w:righ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880" w:type="dxa"/>
            <w:vAlign w:val="bottom"/>
            <w:tcBorders>
              <w:righ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(120,000)</w:t>
            </w:r>
          </w:p>
        </w:tc>
        <w:tc>
          <w:tcPr>
            <w:tcW w:w="0" w:type="dxa"/>
            <w:vAlign w:val="bottom"/>
          </w:tcPr>
          <w:p>
            <w:pPr>
              <w:spacing w:after="0"/>
              <w:rPr>
                <w:sz w:val="1"/>
                <w:szCs w:val="1"/>
                <w:color w:val="auto"/>
              </w:rPr>
            </w:pPr>
          </w:p>
        </w:tc>
      </w:tr>
      <w:tr>
        <w:trPr>
          <w:trHeight w:val="161"/>
        </w:trPr>
        <w:tc>
          <w:tcPr>
            <w:tcW w:w="2480" w:type="dxa"/>
            <w:vAlign w:val="bottom"/>
          </w:tcPr>
          <w:p>
            <w:pPr>
              <w:spacing w:after="0"/>
              <w:rPr>
                <w:sz w:val="20"/>
                <w:szCs w:val="20"/>
                <w:color w:val="auto"/>
              </w:rPr>
            </w:pPr>
            <w:r>
              <w:rPr>
                <w:rFonts w:ascii="Times New Roman" w:cs="Times New Roman" w:eastAsia="Times New Roman" w:hAnsi="Times New Roman"/>
                <w:sz w:val="13"/>
                <w:szCs w:val="13"/>
                <w:color w:val="auto"/>
              </w:rPr>
              <w:t>Other</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742</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4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Balances at September 30, 2026</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198,814,320</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1,988</w:t>
            </w:r>
          </w:p>
        </w:tc>
        <w:tc>
          <w:tcPr>
            <w:tcW w:w="120" w:type="dxa"/>
            <w:vAlign w:val="bottom"/>
            <w:shd w:val="clear" w:color="auto" w:fill="CFF0FC"/>
          </w:tcPr>
          <w:p>
            <w:pPr>
              <w:spacing w:after="0"/>
              <w:rPr>
                <w:sz w:val="14"/>
                <w:szCs w:val="14"/>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2,021,881</w:t>
            </w:r>
          </w:p>
        </w:tc>
        <w:tc>
          <w:tcPr>
            <w:tcW w:w="300" w:type="dxa"/>
            <w:vAlign w:val="bottom"/>
            <w:tcBorders>
              <w:lef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138,572</w:t>
            </w:r>
          </w:p>
        </w:tc>
        <w:tc>
          <w:tcPr>
            <w:tcW w:w="200" w:type="dxa"/>
            <w:vAlign w:val="bottom"/>
            <w:tcBorders>
              <w:left w:val="single" w:sz="8" w:color="CFF0FC"/>
              <w:right w:val="single" w:sz="8" w:color="CFF0FC"/>
            </w:tcBorders>
            <w:shd w:val="clear" w:color="auto" w:fill="CFF0FC"/>
          </w:tcPr>
          <w:p>
            <w:pPr>
              <w:spacing w:after="0"/>
              <w:rPr>
                <w:sz w:val="14"/>
                <w:szCs w:val="14"/>
                <w:color w:val="auto"/>
              </w:rPr>
            </w:pPr>
          </w:p>
        </w:tc>
        <w:tc>
          <w:tcPr>
            <w:tcW w:w="18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14,099</w:t>
            </w:r>
          </w:p>
        </w:tc>
        <w:tc>
          <w:tcPr>
            <w:tcW w:w="200" w:type="dxa"/>
            <w:vAlign w:val="bottom"/>
            <w:tcBorders>
              <w:left w:val="single" w:sz="8" w:color="CFF0FC"/>
              <w:right w:val="single" w:sz="8" w:color="CFF0FC"/>
            </w:tcBorders>
            <w:shd w:val="clear" w:color="auto" w:fill="CFF0FC"/>
          </w:tcPr>
          <w:p>
            <w:pPr>
              <w:spacing w:after="0"/>
              <w:rPr>
                <w:sz w:val="14"/>
                <w:szCs w:val="14"/>
                <w:color w:val="auto"/>
              </w:rPr>
            </w:pPr>
          </w:p>
        </w:tc>
        <w:tc>
          <w:tcPr>
            <w:tcW w:w="140" w:type="dxa"/>
            <w:vAlign w:val="bottom"/>
            <w:shd w:val="clear" w:color="auto" w:fill="CFF0FC"/>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75</w:t>
            </w:r>
          </w:p>
        </w:tc>
        <w:tc>
          <w:tcPr>
            <w:tcW w:w="220" w:type="dxa"/>
            <w:vAlign w:val="bottom"/>
            <w:tcBorders>
              <w:left w:val="single" w:sz="8" w:color="CFF0FC"/>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5"/>
                <w:szCs w:val="5"/>
                <w:color w:val="auto"/>
                <w:w w:val="7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2,176,615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48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left w:val="single" w:sz="8" w:color="CFF0FC"/>
              <w:right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left w:val="single" w:sz="8" w:color="CFF0FC"/>
              <w:right w:val="single" w:sz="8" w:color="auto"/>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left w:val="single" w:sz="8" w:color="CFF0FC"/>
              <w:right w:val="single" w:sz="8" w:color="auto"/>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2480" w:type="dxa"/>
            <w:vAlign w:val="bottom"/>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3400" w:type="dxa"/>
            <w:vAlign w:val="bottom"/>
            <w:tcBorders>
              <w:bottom w:val="single" w:sz="8" w:color="auto"/>
            </w:tcBorders>
            <w:gridSpan w:val="7"/>
          </w:tcPr>
          <w:p>
            <w:pPr>
              <w:jc w:val="right"/>
              <w:ind w:right="1000"/>
              <w:spacing w:after="0"/>
              <w:rPr>
                <w:sz w:val="20"/>
                <w:szCs w:val="20"/>
                <w:color w:val="auto"/>
              </w:rPr>
            </w:pPr>
            <w:r>
              <w:rPr>
                <w:rFonts w:ascii="Times New Roman" w:cs="Times New Roman" w:eastAsia="Times New Roman" w:hAnsi="Times New Roman"/>
                <w:sz w:val="11"/>
                <w:szCs w:val="11"/>
                <w:b w:val="1"/>
                <w:bCs w:val="1"/>
                <w:color w:val="auto"/>
              </w:rPr>
              <w:t>For the Nine Months Ended September 30, 2025</w:t>
            </w: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0"/>
        </w:trPr>
        <w:tc>
          <w:tcPr>
            <w:tcW w:w="2480" w:type="dxa"/>
            <w:vAlign w:val="bottom"/>
          </w:tcPr>
          <w:p>
            <w:pPr>
              <w:spacing w:after="0"/>
              <w:rPr>
                <w:sz w:val="7"/>
                <w:szCs w:val="7"/>
                <w:color w:val="auto"/>
              </w:rPr>
            </w:pPr>
          </w:p>
        </w:tc>
        <w:tc>
          <w:tcPr>
            <w:tcW w:w="1220" w:type="dxa"/>
            <w:vAlign w:val="bottom"/>
            <w:gridSpan w:val="3"/>
            <w:vMerge w:val="restart"/>
          </w:tcPr>
          <w:p>
            <w:pPr>
              <w:jc w:val="right"/>
              <w:ind w:right="5"/>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jc w:val="center"/>
              <w:ind w:right="77"/>
              <w:spacing w:after="0" w:line="90" w:lineRule="exact"/>
              <w:rPr>
                <w:sz w:val="20"/>
                <w:szCs w:val="20"/>
                <w:color w:val="auto"/>
              </w:rPr>
            </w:pPr>
            <w:r>
              <w:rPr>
                <w:rFonts w:ascii="Times New Roman" w:cs="Times New Roman" w:eastAsia="Times New Roman" w:hAnsi="Times New Roman"/>
                <w:sz w:val="10"/>
                <w:szCs w:val="10"/>
                <w:b w:val="1"/>
                <w:bCs w:val="1"/>
                <w:color w:val="auto"/>
              </w:rPr>
              <w:t>Additional</w:t>
            </w: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4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1"/>
                <w:szCs w:val="11"/>
                <w:b w:val="1"/>
                <w:bCs w:val="1"/>
                <w:color w:val="auto"/>
              </w:rPr>
              <w:t>Accumulated Deficit</w:t>
            </w:r>
          </w:p>
        </w:tc>
        <w:tc>
          <w:tcPr>
            <w:tcW w:w="180" w:type="dxa"/>
            <w:vAlign w:val="bottom"/>
          </w:tcPr>
          <w:p>
            <w:pPr>
              <w:spacing w:after="0"/>
              <w:rPr>
                <w:sz w:val="7"/>
                <w:szCs w:val="7"/>
                <w:color w:val="auto"/>
              </w:rPr>
            </w:pPr>
          </w:p>
        </w:tc>
        <w:tc>
          <w:tcPr>
            <w:tcW w:w="1580" w:type="dxa"/>
            <w:vAlign w:val="bottom"/>
            <w:gridSpan w:val="2"/>
          </w:tcPr>
          <w:p>
            <w:pPr>
              <w:jc w:val="center"/>
              <w:ind w:right="400"/>
              <w:spacing w:after="0" w:line="90" w:lineRule="exact"/>
              <w:rPr>
                <w:sz w:val="20"/>
                <w:szCs w:val="20"/>
                <w:color w:val="auto"/>
              </w:rPr>
            </w:pPr>
            <w:r>
              <w:rPr>
                <w:rFonts w:ascii="Times New Roman" w:cs="Times New Roman" w:eastAsia="Times New Roman" w:hAnsi="Times New Roman"/>
                <w:sz w:val="10"/>
                <w:szCs w:val="10"/>
                <w:b w:val="1"/>
                <w:bCs w:val="1"/>
                <w:color w:val="auto"/>
              </w:rPr>
              <w:t>Accumulated Other</w:t>
            </w:r>
          </w:p>
        </w:tc>
        <w:tc>
          <w:tcPr>
            <w:tcW w:w="1020" w:type="dxa"/>
            <w:vAlign w:val="bottom"/>
            <w:gridSpan w:val="3"/>
          </w:tcPr>
          <w:p>
            <w:pPr>
              <w:jc w:val="right"/>
              <w:ind w:right="240"/>
              <w:spacing w:after="0" w:line="90" w:lineRule="exact"/>
              <w:rPr>
                <w:sz w:val="20"/>
                <w:szCs w:val="20"/>
                <w:color w:val="auto"/>
              </w:rPr>
            </w:pPr>
            <w:r>
              <w:rPr>
                <w:rFonts w:ascii="Times New Roman" w:cs="Times New Roman" w:eastAsia="Times New Roman" w:hAnsi="Times New Roman"/>
                <w:sz w:val="10"/>
                <w:szCs w:val="10"/>
                <w:b w:val="1"/>
                <w:bCs w:val="1"/>
                <w:color w:val="auto"/>
              </w:rPr>
              <w:t>Noncontrolling</w:t>
            </w:r>
          </w:p>
        </w:tc>
        <w:tc>
          <w:tcPr>
            <w:tcW w:w="100" w:type="dxa"/>
            <w:vAlign w:val="bottom"/>
          </w:tcPr>
          <w:p>
            <w:pPr>
              <w:spacing w:after="0"/>
              <w:rPr>
                <w:sz w:val="7"/>
                <w:szCs w:val="7"/>
                <w:color w:val="auto"/>
              </w:rPr>
            </w:pPr>
          </w:p>
        </w:tc>
        <w:tc>
          <w:tcPr>
            <w:tcW w:w="68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37"/>
        </w:trPr>
        <w:tc>
          <w:tcPr>
            <w:tcW w:w="2480" w:type="dxa"/>
            <w:vAlign w:val="bottom"/>
          </w:tcPr>
          <w:p>
            <w:pPr>
              <w:spacing w:after="0"/>
              <w:rPr>
                <w:sz w:val="11"/>
                <w:szCs w:val="11"/>
                <w:color w:val="auto"/>
              </w:rPr>
            </w:pPr>
          </w:p>
        </w:tc>
        <w:tc>
          <w:tcPr>
            <w:tcW w:w="1220" w:type="dxa"/>
            <w:vAlign w:val="bottom"/>
            <w:gridSpan w:val="3"/>
            <w:vMerge w:val="continue"/>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Paid-In Capital</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1760" w:type="dxa"/>
            <w:vAlign w:val="bottom"/>
            <w:gridSpan w:val="3"/>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Comprehensive Income (Loss)</w:t>
            </w:r>
          </w:p>
        </w:tc>
        <w:tc>
          <w:tcPr>
            <w:tcW w:w="140" w:type="dxa"/>
            <w:vAlign w:val="bottom"/>
          </w:tcPr>
          <w:p>
            <w:pPr>
              <w:spacing w:after="0"/>
              <w:rPr>
                <w:sz w:val="11"/>
                <w:szCs w:val="11"/>
                <w:color w:val="auto"/>
              </w:rPr>
            </w:pPr>
          </w:p>
        </w:tc>
        <w:tc>
          <w:tcPr>
            <w:tcW w:w="880" w:type="dxa"/>
            <w:vAlign w:val="bottom"/>
            <w:gridSpan w:val="2"/>
          </w:tcPr>
          <w:p>
            <w:pPr>
              <w:jc w:val="right"/>
              <w:ind w:right="420"/>
              <w:spacing w:after="0"/>
              <w:rPr>
                <w:sz w:val="20"/>
                <w:szCs w:val="20"/>
                <w:color w:val="auto"/>
              </w:rPr>
            </w:pPr>
            <w:r>
              <w:rPr>
                <w:rFonts w:ascii="Times New Roman" w:cs="Times New Roman" w:eastAsia="Times New Roman" w:hAnsi="Times New Roman"/>
                <w:sz w:val="11"/>
                <w:szCs w:val="11"/>
                <w:b w:val="1"/>
                <w:bCs w:val="1"/>
                <w:color w:val="auto"/>
              </w:rPr>
              <w:t>Interest</w:t>
            </w:r>
          </w:p>
        </w:tc>
        <w:tc>
          <w:tcPr>
            <w:tcW w:w="10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2480" w:type="dxa"/>
            <w:vAlign w:val="bottom"/>
          </w:tcPr>
          <w:p>
            <w:pPr>
              <w:spacing w:after="0"/>
              <w:rPr>
                <w:sz w:val="9"/>
                <w:szCs w:val="9"/>
                <w:color w:val="auto"/>
              </w:rPr>
            </w:pPr>
          </w:p>
        </w:tc>
        <w:tc>
          <w:tcPr>
            <w:tcW w:w="1060" w:type="dxa"/>
            <w:vAlign w:val="bottom"/>
            <w:tcBorders>
              <w:top w:val="single" w:sz="8" w:color="auto"/>
            </w:tcBorders>
            <w:gridSpan w:val="2"/>
          </w:tcPr>
          <w:p>
            <w:pPr>
              <w:jc w:val="right"/>
              <w:ind w:right="480"/>
              <w:spacing w:after="0" w:line="109" w:lineRule="exact"/>
              <w:rPr>
                <w:sz w:val="20"/>
                <w:szCs w:val="20"/>
                <w:color w:val="auto"/>
              </w:rPr>
            </w:pPr>
            <w:r>
              <w:rPr>
                <w:rFonts w:ascii="Times New Roman" w:cs="Times New Roman" w:eastAsia="Times New Roman" w:hAnsi="Times New Roman"/>
                <w:sz w:val="11"/>
                <w:szCs w:val="11"/>
                <w:b w:val="1"/>
                <w:bCs w:val="1"/>
                <w:color w:val="auto"/>
              </w:rPr>
              <w:t>Shares</w:t>
            </w:r>
          </w:p>
        </w:tc>
        <w:tc>
          <w:tcPr>
            <w:tcW w:w="520" w:type="dxa"/>
            <w:vAlign w:val="bottom"/>
            <w:tcBorders>
              <w:top w:val="single" w:sz="8" w:color="auto"/>
            </w:tcBorders>
            <w:gridSpan w:val="2"/>
          </w:tcPr>
          <w:p>
            <w:pPr>
              <w:jc w:val="right"/>
              <w:spacing w:after="0" w:line="109" w:lineRule="exact"/>
              <w:rPr>
                <w:sz w:val="20"/>
                <w:szCs w:val="20"/>
                <w:color w:val="auto"/>
              </w:rPr>
            </w:pPr>
            <w:r>
              <w:rPr>
                <w:rFonts w:ascii="Times New Roman" w:cs="Times New Roman" w:eastAsia="Times New Roman" w:hAnsi="Times New Roman"/>
                <w:sz w:val="11"/>
                <w:szCs w:val="11"/>
                <w:b w:val="1"/>
                <w:bCs w:val="1"/>
                <w:color w:val="auto"/>
              </w:rPr>
              <w:t>Amount</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14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138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2"/>
        </w:trPr>
        <w:tc>
          <w:tcPr>
            <w:tcW w:w="24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Balances at December 31, 2024</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174,245,990</w:t>
            </w:r>
          </w:p>
        </w:tc>
        <w:tc>
          <w:tcPr>
            <w:tcW w:w="220" w:type="dxa"/>
            <w:vAlign w:val="bottom"/>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1,742</w:t>
            </w:r>
          </w:p>
        </w:tc>
        <w:tc>
          <w:tcPr>
            <w:tcW w:w="120" w:type="dxa"/>
            <w:vAlign w:val="bottom"/>
            <w:shd w:val="clear" w:color="auto" w:fill="CFF0FC"/>
          </w:tcPr>
          <w:p>
            <w:pPr>
              <w:spacing w:after="0"/>
              <w:rPr>
                <w:sz w:val="13"/>
                <w:szCs w:val="13"/>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1,866,850</w:t>
            </w:r>
          </w:p>
        </w:tc>
        <w:tc>
          <w:tcPr>
            <w:tcW w:w="300" w:type="dxa"/>
            <w:vAlign w:val="bottom"/>
            <w:tcBorders>
              <w:lef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(222,155)</w:t>
            </w:r>
          </w:p>
        </w:tc>
        <w:tc>
          <w:tcPr>
            <w:tcW w:w="18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1,418</w:t>
            </w:r>
          </w:p>
        </w:tc>
        <w:tc>
          <w:tcPr>
            <w:tcW w:w="200" w:type="dxa"/>
            <w:vAlign w:val="bottom"/>
            <w:tcBorders>
              <w:left w:val="single" w:sz="8" w:color="CFF0FC"/>
              <w:right w:val="single" w:sz="8" w:color="CFF0FC"/>
            </w:tcBorders>
            <w:shd w:val="clear" w:color="auto" w:fill="CFF0FC"/>
          </w:tcPr>
          <w:p>
            <w:pPr>
              <w:spacing w:after="0"/>
              <w:rPr>
                <w:sz w:val="13"/>
                <w:szCs w:val="13"/>
                <w:color w:val="auto"/>
              </w:rPr>
            </w:pP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1,647,855</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480" w:type="dxa"/>
            <w:vAlign w:val="bottom"/>
          </w:tcPr>
          <w:p>
            <w:pPr>
              <w:spacing w:after="0" w:line="161" w:lineRule="exact"/>
              <w:rPr>
                <w:sz w:val="20"/>
                <w:szCs w:val="20"/>
                <w:color w:val="auto"/>
              </w:rPr>
            </w:pPr>
            <w:r>
              <w:rPr>
                <w:rFonts w:ascii="Times New Roman" w:cs="Times New Roman" w:eastAsia="Times New Roman" w:hAnsi="Times New Roman"/>
                <w:sz w:val="13"/>
                <w:szCs w:val="13"/>
                <w:color w:val="auto"/>
              </w:rPr>
              <w:t xml:space="preserve">Net income (loss) </w:t>
            </w:r>
            <w:r>
              <w:rPr>
                <w:rFonts w:ascii="Times New Roman" w:cs="Times New Roman" w:eastAsia="Times New Roman" w:hAnsi="Times New Roman"/>
                <w:sz w:val="17"/>
                <w:szCs w:val="17"/>
                <w:color w:val="auto"/>
                <w:vertAlign w:val="superscript"/>
              </w:rPr>
              <w:t>(1)</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113,586</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(423)</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113,163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4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Other comprehensive loss, net of tax</w:t>
            </w:r>
          </w:p>
        </w:tc>
        <w:tc>
          <w:tcPr>
            <w:tcW w:w="10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4"/>
                <w:szCs w:val="14"/>
                <w:color w:val="auto"/>
              </w:rPr>
            </w:pPr>
          </w:p>
        </w:tc>
        <w:tc>
          <w:tcPr>
            <w:tcW w:w="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lef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34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4"/>
                <w:szCs w:val="14"/>
                <w:color w:val="auto"/>
              </w:rPr>
            </w:pPr>
          </w:p>
        </w:tc>
        <w:tc>
          <w:tcPr>
            <w:tcW w:w="158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(7,709)</w:t>
            </w:r>
          </w:p>
        </w:tc>
        <w:tc>
          <w:tcPr>
            <w:tcW w:w="140" w:type="dxa"/>
            <w:vAlign w:val="bottom"/>
            <w:shd w:val="clear" w:color="auto" w:fill="CFF0FC"/>
          </w:tcPr>
          <w:p>
            <w:pPr>
              <w:spacing w:after="0"/>
              <w:rPr>
                <w:sz w:val="14"/>
                <w:szCs w:val="14"/>
                <w:color w:val="auto"/>
              </w:rPr>
            </w:pPr>
          </w:p>
        </w:tc>
        <w:tc>
          <w:tcPr>
            <w:tcW w:w="88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(7,709)</w:t>
            </w:r>
          </w:p>
        </w:tc>
        <w:tc>
          <w:tcPr>
            <w:tcW w:w="0" w:type="dxa"/>
            <w:vAlign w:val="bottom"/>
          </w:tcPr>
          <w:p>
            <w:pPr>
              <w:spacing w:after="0"/>
              <w:rPr>
                <w:sz w:val="1"/>
                <w:szCs w:val="1"/>
                <w:color w:val="auto"/>
              </w:rPr>
            </w:pPr>
          </w:p>
        </w:tc>
      </w:tr>
      <w:tr>
        <w:trPr>
          <w:trHeight w:val="161"/>
        </w:trPr>
        <w:tc>
          <w:tcPr>
            <w:tcW w:w="2480" w:type="dxa"/>
            <w:vAlign w:val="bottom"/>
          </w:tcPr>
          <w:p>
            <w:pPr>
              <w:spacing w:after="0"/>
              <w:rPr>
                <w:sz w:val="20"/>
                <w:szCs w:val="20"/>
                <w:color w:val="auto"/>
              </w:rPr>
            </w:pPr>
            <w:r>
              <w:rPr>
                <w:rFonts w:ascii="Times New Roman" w:cs="Times New Roman" w:eastAsia="Times New Roman" w:hAnsi="Times New Roman"/>
                <w:sz w:val="13"/>
                <w:szCs w:val="13"/>
                <w:color w:val="auto"/>
              </w:rPr>
              <w:t>Share-based compensation</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55,733</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55,733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4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Exercise of stock options</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2,055,618</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14,660</w:t>
            </w:r>
          </w:p>
        </w:tc>
        <w:tc>
          <w:tcPr>
            <w:tcW w:w="200" w:type="dxa"/>
            <w:vAlign w:val="bottom"/>
            <w:tcBorders>
              <w:lef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34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4"/>
                <w:szCs w:val="14"/>
                <w:color w:val="auto"/>
              </w:rPr>
            </w:pPr>
          </w:p>
        </w:tc>
        <w:tc>
          <w:tcPr>
            <w:tcW w:w="158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88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14,681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2480" w:type="dxa"/>
            <w:vAlign w:val="bottom"/>
          </w:tcPr>
          <w:p>
            <w:pPr>
              <w:spacing w:after="0"/>
              <w:rPr>
                <w:sz w:val="20"/>
                <w:szCs w:val="20"/>
                <w:color w:val="auto"/>
              </w:rPr>
            </w:pPr>
            <w:r>
              <w:rPr>
                <w:rFonts w:ascii="Times New Roman" w:cs="Times New Roman" w:eastAsia="Times New Roman" w:hAnsi="Times New Roman"/>
                <w:sz w:val="13"/>
                <w:szCs w:val="13"/>
                <w:color w:val="auto"/>
              </w:rPr>
              <w:t>Issuance of common stock for settlement of</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1,817,356</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9"/>
        </w:trPr>
        <w:tc>
          <w:tcPr>
            <w:tcW w:w="24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RSUs</w:t>
            </w: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4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Tax effect of net share settlement of equity</w:t>
            </w:r>
          </w:p>
        </w:tc>
        <w:tc>
          <w:tcPr>
            <w:tcW w:w="10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(264,547)</w:t>
            </w:r>
          </w:p>
        </w:tc>
        <w:tc>
          <w:tcPr>
            <w:tcW w:w="160" w:type="dxa"/>
            <w:vAlign w:val="bottom"/>
            <w:shd w:val="clear" w:color="auto" w:fill="CFF0FC"/>
          </w:tcPr>
          <w:p>
            <w:pPr>
              <w:spacing w:after="0"/>
              <w:rPr>
                <w:sz w:val="13"/>
                <w:szCs w:val="13"/>
                <w:color w:val="auto"/>
              </w:rPr>
            </w:pPr>
          </w:p>
        </w:tc>
        <w:tc>
          <w:tcPr>
            <w:tcW w:w="4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(5,581)</w:t>
            </w:r>
          </w:p>
        </w:tc>
        <w:tc>
          <w:tcPr>
            <w:tcW w:w="200" w:type="dxa"/>
            <w:vAlign w:val="bottom"/>
            <w:tcBorders>
              <w:left w:val="single" w:sz="8" w:color="CFF0FC"/>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34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158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88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(5,583)</w:t>
            </w:r>
          </w:p>
        </w:tc>
        <w:tc>
          <w:tcPr>
            <w:tcW w:w="0" w:type="dxa"/>
            <w:vAlign w:val="bottom"/>
          </w:tcPr>
          <w:p>
            <w:pPr>
              <w:spacing w:after="0"/>
              <w:rPr>
                <w:sz w:val="1"/>
                <w:szCs w:val="1"/>
                <w:color w:val="auto"/>
              </w:rPr>
            </w:pPr>
          </w:p>
        </w:tc>
      </w:tr>
      <w:tr>
        <w:trPr>
          <w:trHeight w:val="172"/>
        </w:trPr>
        <w:tc>
          <w:tcPr>
            <w:tcW w:w="24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awards</w:t>
            </w:r>
          </w:p>
        </w:tc>
        <w:tc>
          <w:tcPr>
            <w:tcW w:w="8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00" w:type="dxa"/>
            <w:vAlign w:val="bottom"/>
            <w:tcBorders>
              <w:lef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200" w:type="dxa"/>
            <w:vAlign w:val="bottom"/>
            <w:tcBorders>
              <w:left w:val="single" w:sz="8" w:color="CFF0FC"/>
              <w:right w:val="single" w:sz="8" w:color="CFF0FC"/>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80" w:type="dxa"/>
            <w:vAlign w:val="bottom"/>
            <w:shd w:val="clear" w:color="auto" w:fill="CFF0FC"/>
          </w:tcPr>
          <w:p>
            <w:pPr>
              <w:spacing w:after="0"/>
              <w:rPr>
                <w:sz w:val="14"/>
                <w:szCs w:val="14"/>
                <w:color w:val="auto"/>
              </w:rPr>
            </w:pPr>
          </w:p>
        </w:tc>
        <w:tc>
          <w:tcPr>
            <w:tcW w:w="200" w:type="dxa"/>
            <w:vAlign w:val="bottom"/>
            <w:tcBorders>
              <w:left w:val="single" w:sz="8" w:color="CFF0FC"/>
              <w:righ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20" w:type="dxa"/>
            <w:vAlign w:val="bottom"/>
            <w:tcBorders>
              <w:left w:val="single" w:sz="8" w:color="CFF0FC"/>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2480" w:type="dxa"/>
            <w:vAlign w:val="bottom"/>
          </w:tcPr>
          <w:p>
            <w:pPr>
              <w:spacing w:after="0"/>
              <w:rPr>
                <w:sz w:val="20"/>
                <w:szCs w:val="20"/>
                <w:color w:val="auto"/>
              </w:rPr>
            </w:pPr>
            <w:r>
              <w:rPr>
                <w:rFonts w:ascii="Times New Roman" w:cs="Times New Roman" w:eastAsia="Times New Roman" w:hAnsi="Times New Roman"/>
                <w:sz w:val="13"/>
                <w:szCs w:val="13"/>
                <w:color w:val="auto"/>
              </w:rPr>
              <w:t>Conversion of tangible equity units into</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2,831,467</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9"/>
        </w:trPr>
        <w:tc>
          <w:tcPr>
            <w:tcW w:w="24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common stock</w:t>
            </w: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4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Other</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left w:val="single" w:sz="8" w:color="CFF0FC"/>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left w:val="single" w:sz="8" w:color="CFF0FC"/>
              <w:bottom w:val="single" w:sz="8" w:color="CFF0FC"/>
              <w:right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left w:val="single" w:sz="8" w:color="CFF0FC"/>
              <w:bottom w:val="single" w:sz="8" w:color="CFF0FC"/>
              <w:right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517</w:t>
            </w:r>
          </w:p>
        </w:tc>
        <w:tc>
          <w:tcPr>
            <w:tcW w:w="220" w:type="dxa"/>
            <w:vAlign w:val="bottom"/>
            <w:tcBorders>
              <w:left w:val="single" w:sz="8" w:color="CFF0FC"/>
              <w:bottom w:val="single" w:sz="8" w:color="CFF0FC"/>
              <w:right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517</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480" w:type="dxa"/>
            <w:vAlign w:val="bottom"/>
          </w:tcPr>
          <w:p>
            <w:pPr>
              <w:spacing w:after="0"/>
              <w:rPr>
                <w:sz w:val="20"/>
                <w:szCs w:val="20"/>
                <w:color w:val="auto"/>
              </w:rPr>
            </w:pPr>
            <w:r>
              <w:rPr>
                <w:rFonts w:ascii="Times New Roman" w:cs="Times New Roman" w:eastAsia="Times New Roman" w:hAnsi="Times New Roman"/>
                <w:sz w:val="13"/>
                <w:szCs w:val="13"/>
                <w:color w:val="auto"/>
              </w:rPr>
              <w:t>Balances at September 30, 2025</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180,685,884</w:t>
            </w:r>
          </w:p>
        </w:tc>
        <w:tc>
          <w:tcPr>
            <w:tcW w:w="220" w:type="dxa"/>
            <w:vAlign w:val="bottom"/>
          </w:tcPr>
          <w:p>
            <w:pPr>
              <w:spacing w:after="0"/>
              <w:rPr>
                <w:sz w:val="13"/>
                <w:szCs w:val="13"/>
                <w:color w:val="auto"/>
              </w:rPr>
            </w:pPr>
          </w:p>
        </w:tc>
        <w:tc>
          <w:tcPr>
            <w:tcW w:w="16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1,807</w:t>
            </w:r>
          </w:p>
        </w:tc>
        <w:tc>
          <w:tcPr>
            <w:tcW w:w="120" w:type="dxa"/>
            <w:vAlign w:val="bottom"/>
          </w:tcPr>
          <w:p>
            <w:pPr>
              <w:spacing w:after="0"/>
              <w:rPr>
                <w:sz w:val="13"/>
                <w:szCs w:val="13"/>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1,931,616</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(108,569)</w:t>
            </w:r>
          </w:p>
        </w:tc>
        <w:tc>
          <w:tcPr>
            <w:tcW w:w="180" w:type="dxa"/>
            <w:vAlign w:val="bottom"/>
          </w:tcPr>
          <w:p>
            <w:pPr>
              <w:jc w:val="right"/>
              <w:ind w:right="38"/>
              <w:spacing w:after="0"/>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(6,291)</w:t>
            </w:r>
          </w:p>
        </w:tc>
        <w:tc>
          <w:tcPr>
            <w:tcW w:w="1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w:t>
            </w:r>
          </w:p>
        </w:tc>
        <w:tc>
          <w:tcPr>
            <w:tcW w:w="2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1,818,657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2108200</wp:posOffset>
            </wp:positionH>
            <wp:positionV relativeFrom="paragraph">
              <wp:posOffset>-1806575</wp:posOffset>
            </wp:positionV>
            <wp:extent cx="67945" cy="69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2108200</wp:posOffset>
            </wp:positionH>
            <wp:positionV relativeFrom="paragraph">
              <wp:posOffset>-1792605</wp:posOffset>
            </wp:positionV>
            <wp:extent cx="67945" cy="69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2578735</wp:posOffset>
            </wp:positionH>
            <wp:positionV relativeFrom="paragraph">
              <wp:posOffset>-1806575</wp:posOffset>
            </wp:positionV>
            <wp:extent cx="67945" cy="69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2578735</wp:posOffset>
            </wp:positionH>
            <wp:positionV relativeFrom="paragraph">
              <wp:posOffset>-1792605</wp:posOffset>
            </wp:positionV>
            <wp:extent cx="67945" cy="69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3246755</wp:posOffset>
            </wp:positionH>
            <wp:positionV relativeFrom="paragraph">
              <wp:posOffset>-1806575</wp:posOffset>
            </wp:positionV>
            <wp:extent cx="67945" cy="69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3246755</wp:posOffset>
            </wp:positionH>
            <wp:positionV relativeFrom="paragraph">
              <wp:posOffset>-1792605</wp:posOffset>
            </wp:positionV>
            <wp:extent cx="67945" cy="69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4167505</wp:posOffset>
            </wp:positionH>
            <wp:positionV relativeFrom="paragraph">
              <wp:posOffset>-1806575</wp:posOffset>
            </wp:positionV>
            <wp:extent cx="67945" cy="69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4167505</wp:posOffset>
            </wp:positionH>
            <wp:positionV relativeFrom="paragraph">
              <wp:posOffset>-1792605</wp:posOffset>
            </wp:positionV>
            <wp:extent cx="67945" cy="69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5279390</wp:posOffset>
            </wp:positionH>
            <wp:positionV relativeFrom="paragraph">
              <wp:posOffset>-1806575</wp:posOffset>
            </wp:positionV>
            <wp:extent cx="61595" cy="69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5279390</wp:posOffset>
            </wp:positionH>
            <wp:positionV relativeFrom="paragraph">
              <wp:posOffset>-1792605</wp:posOffset>
            </wp:positionV>
            <wp:extent cx="61595" cy="69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-1806575</wp:posOffset>
            </wp:positionV>
            <wp:extent cx="61595" cy="69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-1792605</wp:posOffset>
            </wp:positionV>
            <wp:extent cx="61595" cy="69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-1806575</wp:posOffset>
            </wp:positionV>
            <wp:extent cx="61595" cy="69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-1792605</wp:posOffset>
            </wp:positionV>
            <wp:extent cx="61595" cy="69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2108200</wp:posOffset>
            </wp:positionH>
            <wp:positionV relativeFrom="paragraph">
              <wp:posOffset>-128905</wp:posOffset>
            </wp:positionV>
            <wp:extent cx="67945" cy="69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2578735</wp:posOffset>
            </wp:positionH>
            <wp:positionV relativeFrom="paragraph">
              <wp:posOffset>-128905</wp:posOffset>
            </wp:positionV>
            <wp:extent cx="67945" cy="69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3246755</wp:posOffset>
            </wp:positionH>
            <wp:positionV relativeFrom="paragraph">
              <wp:posOffset>-128905</wp:posOffset>
            </wp:positionV>
            <wp:extent cx="67945" cy="69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4174490</wp:posOffset>
            </wp:positionH>
            <wp:positionV relativeFrom="paragraph">
              <wp:posOffset>-128905</wp:posOffset>
            </wp:positionV>
            <wp:extent cx="61595" cy="69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5292725</wp:posOffset>
            </wp:positionH>
            <wp:positionV relativeFrom="paragraph">
              <wp:posOffset>-128905</wp:posOffset>
            </wp:positionV>
            <wp:extent cx="61595" cy="69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5934075</wp:posOffset>
            </wp:positionH>
            <wp:positionV relativeFrom="paragraph">
              <wp:posOffset>-128905</wp:posOffset>
            </wp:positionV>
            <wp:extent cx="61595" cy="69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-128905</wp:posOffset>
            </wp:positionV>
            <wp:extent cx="61595" cy="69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1595" cy="6985"/>
                    </a:xfrm>
                    <a:prstGeom prst="rect">
                      <a:avLst/>
                    </a:prstGeom>
                    <a:noFill/>
                  </pic:spPr>
                </pic:pic>
              </a:graphicData>
            </a:graphic>
          </wp:anchor>
        </w:drawing>
      </w:r>
    </w:p>
    <w:p>
      <w:pPr>
        <w:spacing w:after="0" w:line="55" w:lineRule="exact"/>
        <w:rPr>
          <w:sz w:val="20"/>
          <w:szCs w:val="20"/>
          <w:color w:val="auto"/>
        </w:rPr>
      </w:pPr>
    </w:p>
    <w:p>
      <w:pPr>
        <w:ind w:right="180" w:firstLine="1"/>
        <w:spacing w:after="0" w:line="286" w:lineRule="auto"/>
        <w:tabs>
          <w:tab w:leader="none" w:pos="133" w:val="left"/>
        </w:tabs>
        <w:numPr>
          <w:ilvl w:val="0"/>
          <w:numId w:val="7"/>
        </w:numPr>
        <w:rPr>
          <w:rFonts w:ascii="Times New Roman" w:cs="Times New Roman" w:eastAsia="Times New Roman" w:hAnsi="Times New Roman"/>
          <w:sz w:val="9"/>
          <w:szCs w:val="9"/>
          <w:color w:val="auto"/>
        </w:rPr>
      </w:pPr>
      <w:r>
        <w:rPr>
          <w:rFonts w:ascii="Times New Roman" w:cs="Times New Roman" w:eastAsia="Times New Roman" w:hAnsi="Times New Roman"/>
          <w:sz w:val="13"/>
          <w:szCs w:val="13"/>
          <w:color w:val="auto"/>
        </w:rPr>
        <w:t>Net income (loss) to the Company for the nine months ended September 30, 2026 and 2025 excludes ($91) and $(1,370), respectively, allocable to the redeemable noncontrolling interests for our joint venture arrangements.</w:t>
      </w: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the condensed consolidated financial statements.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-338455</wp:posOffset>
            </wp:positionH>
            <wp:positionV relativeFrom="paragraph">
              <wp:posOffset>385445</wp:posOffset>
            </wp:positionV>
            <wp:extent cx="7222490"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22490" cy="38735"/>
                    </a:xfrm>
                    <a:prstGeom prst="rect">
                      <a:avLst/>
                    </a:prstGeom>
                    <a:noFill/>
                  </pic:spPr>
                </pic:pic>
              </a:graphicData>
            </a:graphic>
          </wp:anchor>
        </w:drawing>
      </w:r>
    </w:p>
    <w:p>
      <w:pPr>
        <w:sectPr>
          <w:pgSz w:w="11900" w:h="16838" w:orient="portrait"/>
          <w:cols w:equalWidth="0" w:num="1">
            <w:col w:w="10320"/>
          </w:cols>
          <w:pgMar w:left="820" w:top="896" w:right="75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BrightSpring Health Services, Inc. and Subsidiaries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231F20"/>
        </w:rPr>
        <w:t>Condensed Consolidated Statements of Cash Flows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231F20"/>
        </w:rPr>
        <w:t>(In thousands)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231F20"/>
        </w:rPr>
        <w:t>(Unaudited)</w:t>
      </w:r>
    </w:p>
    <w:p>
      <w:pPr>
        <w:spacing w:after="0" w:line="70" w:lineRule="exact"/>
        <w:rPr>
          <w:sz w:val="20"/>
          <w:szCs w:val="20"/>
          <w:color w:val="auto"/>
        </w:rPr>
      </w:pPr>
    </w:p>
    <w:tbl>
      <w:tblPr>
        <w:tblLayout w:type="fixed"/>
        <w:tblInd w:w="64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5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0" w:type="dxa"/>
            <w:vAlign w:val="bottom"/>
            <w:gridSpan w:val="5"/>
          </w:tcPr>
          <w:p>
            <w:pPr>
              <w:jc w:val="right"/>
              <w:ind w:right="340"/>
              <w:spacing w:after="0"/>
              <w:rPr>
                <w:sz w:val="20"/>
                <w:szCs w:val="20"/>
                <w:color w:val="auto"/>
              </w:rPr>
            </w:pPr>
            <w:r>
              <w:rPr>
                <w:rFonts w:ascii="Times New Roman" w:cs="Times New Roman" w:eastAsia="Times New Roman" w:hAnsi="Times New Roman"/>
                <w:sz w:val="11"/>
                <w:szCs w:val="11"/>
                <w:b w:val="1"/>
                <w:bCs w:val="1"/>
                <w:color w:val="auto"/>
              </w:rPr>
              <w:t>For the Nine Months Ended</w:t>
            </w:r>
          </w:p>
        </w:tc>
      </w:tr>
      <w:tr>
        <w:trPr>
          <w:trHeight w:val="137"/>
        </w:trPr>
        <w:tc>
          <w:tcPr>
            <w:tcW w:w="20" w:type="dxa"/>
            <w:vAlign w:val="bottom"/>
          </w:tcPr>
          <w:p>
            <w:pPr>
              <w:spacing w:after="0"/>
              <w:rPr>
                <w:sz w:val="11"/>
                <w:szCs w:val="11"/>
                <w:color w:val="auto"/>
              </w:rPr>
            </w:pPr>
          </w:p>
        </w:tc>
        <w:tc>
          <w:tcPr>
            <w:tcW w:w="57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5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09"/>
        </w:trPr>
        <w:tc>
          <w:tcPr>
            <w:tcW w:w="20" w:type="dxa"/>
            <w:vAlign w:val="bottom"/>
          </w:tcPr>
          <w:p>
            <w:pPr>
              <w:spacing w:after="0"/>
              <w:rPr>
                <w:sz w:val="9"/>
                <w:szCs w:val="9"/>
                <w:color w:val="auto"/>
              </w:rPr>
            </w:pPr>
          </w:p>
        </w:tc>
        <w:tc>
          <w:tcPr>
            <w:tcW w:w="57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jc w:val="right"/>
              <w:ind w:right="249"/>
              <w:spacing w:after="0" w:line="109" w:lineRule="exact"/>
              <w:rPr>
                <w:sz w:val="20"/>
                <w:szCs w:val="20"/>
                <w:color w:val="auto"/>
              </w:rPr>
            </w:pPr>
            <w:r>
              <w:rPr>
                <w:rFonts w:ascii="Times New Roman" w:cs="Times New Roman" w:eastAsia="Times New Roman" w:hAnsi="Times New Roman"/>
                <w:sz w:val="11"/>
                <w:szCs w:val="11"/>
                <w:b w:val="1"/>
                <w:bCs w:val="1"/>
                <w:color w:val="auto"/>
              </w:rPr>
              <w:t>2026</w:t>
            </w:r>
          </w:p>
        </w:tc>
        <w:tc>
          <w:tcPr>
            <w:tcW w:w="18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jc w:val="right"/>
              <w:ind w:right="209"/>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Pr>
          <w:p>
            <w:pPr>
              <w:spacing w:after="0"/>
              <w:rPr>
                <w:sz w:val="9"/>
                <w:szCs w:val="9"/>
                <w:color w:val="auto"/>
              </w:rPr>
            </w:pPr>
          </w:p>
        </w:tc>
      </w:tr>
      <w:tr>
        <w:trPr>
          <w:trHeight w:val="163"/>
        </w:trPr>
        <w:tc>
          <w:tcPr>
            <w:tcW w:w="20" w:type="dxa"/>
            <w:vAlign w:val="bottom"/>
          </w:tcPr>
          <w:p>
            <w:pPr>
              <w:spacing w:after="0"/>
              <w:rPr>
                <w:sz w:val="14"/>
                <w:szCs w:val="14"/>
                <w:color w:val="auto"/>
              </w:rPr>
            </w:pPr>
          </w:p>
        </w:tc>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Operating activities:</w:t>
            </w: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7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income</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333,118</w:t>
            </w:r>
          </w:p>
        </w:tc>
        <w:tc>
          <w:tcPr>
            <w:tcW w:w="180" w:type="dxa"/>
            <w:vAlign w:val="bottom"/>
          </w:tcPr>
          <w:p>
            <w:pPr>
              <w:spacing w:after="0"/>
              <w:rPr>
                <w:sz w:val="14"/>
                <w:szCs w:val="14"/>
                <w:color w:val="auto"/>
              </w:rPr>
            </w:pP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111,793</w:t>
            </w:r>
          </w:p>
        </w:tc>
        <w:tc>
          <w:tcPr>
            <w:tcW w:w="10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7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118,889</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124,753</w:t>
            </w:r>
          </w:p>
        </w:tc>
        <w:tc>
          <w:tcPr>
            <w:tcW w:w="10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Impairment of long-lived assets</w:t>
            </w: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8,240</w:t>
            </w:r>
          </w:p>
        </w:tc>
        <w:tc>
          <w:tcPr>
            <w:tcW w:w="1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6,526</w:t>
            </w:r>
          </w:p>
        </w:tc>
        <w:tc>
          <w:tcPr>
            <w:tcW w:w="10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7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Change in fair value of contingent consideration, net</w:t>
            </w:r>
          </w:p>
        </w:tc>
        <w:tc>
          <w:tcPr>
            <w:tcW w:w="16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4"/>
                <w:szCs w:val="14"/>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(1,266)</w:t>
            </w:r>
          </w:p>
        </w:tc>
      </w:tr>
      <w:tr>
        <w:trPr>
          <w:trHeight w:val="172"/>
        </w:trPr>
        <w:tc>
          <w:tcPr>
            <w:tcW w:w="20" w:type="dxa"/>
            <w:vAlign w:val="bottom"/>
          </w:tcPr>
          <w:p>
            <w:pPr>
              <w:spacing w:after="0"/>
              <w:rPr>
                <w:sz w:val="14"/>
                <w:szCs w:val="14"/>
                <w:color w:val="auto"/>
              </w:rPr>
            </w:pPr>
          </w:p>
        </w:tc>
        <w:tc>
          <w:tcPr>
            <w:tcW w:w="5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Payment of contingent consideration in excess of acquisition date fair value</w:t>
            </w:r>
          </w:p>
        </w:tc>
        <w:tc>
          <w:tcPr>
            <w:tcW w:w="16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(6,170)</w:t>
            </w:r>
          </w:p>
        </w:tc>
      </w:tr>
      <w:tr>
        <w:trPr>
          <w:trHeight w:val="172"/>
        </w:trPr>
        <w:tc>
          <w:tcPr>
            <w:tcW w:w="20" w:type="dxa"/>
            <w:vAlign w:val="bottom"/>
          </w:tcPr>
          <w:p>
            <w:pPr>
              <w:spacing w:after="0"/>
              <w:rPr>
                <w:sz w:val="14"/>
                <w:szCs w:val="14"/>
                <w:color w:val="auto"/>
              </w:rPr>
            </w:pPr>
          </w:p>
        </w:tc>
        <w:tc>
          <w:tcPr>
            <w:tcW w:w="57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28,694</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48,723</w:t>
            </w:r>
          </w:p>
        </w:tc>
        <w:tc>
          <w:tcPr>
            <w:tcW w:w="10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Amortization of deferred debt issuance costs</w:t>
            </w: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8,317</w:t>
            </w:r>
          </w:p>
        </w:tc>
        <w:tc>
          <w:tcPr>
            <w:tcW w:w="1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8,384</w:t>
            </w:r>
          </w:p>
        </w:tc>
        <w:tc>
          <w:tcPr>
            <w:tcW w:w="10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7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Share-based compensation</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41,040</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55,733</w:t>
            </w:r>
          </w:p>
        </w:tc>
        <w:tc>
          <w:tcPr>
            <w:tcW w:w="10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Deferred income taxes, net</w:t>
            </w:r>
          </w:p>
        </w:tc>
        <w:tc>
          <w:tcPr>
            <w:tcW w:w="16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(3,045)</w:t>
            </w:r>
          </w:p>
        </w:tc>
        <w:tc>
          <w:tcPr>
            <w:tcW w:w="26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18,266</w:t>
            </w:r>
          </w:p>
        </w:tc>
        <w:tc>
          <w:tcPr>
            <w:tcW w:w="10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7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Gain on sale of discontinued operations</w:t>
            </w:r>
          </w:p>
        </w:tc>
        <w:tc>
          <w:tcPr>
            <w:tcW w:w="16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(101,845)</w:t>
            </w:r>
          </w:p>
        </w:tc>
        <w:tc>
          <w:tcPr>
            <w:tcW w:w="26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72"/>
        </w:trPr>
        <w:tc>
          <w:tcPr>
            <w:tcW w:w="20" w:type="dxa"/>
            <w:vAlign w:val="bottom"/>
          </w:tcPr>
          <w:p>
            <w:pPr>
              <w:spacing w:after="0"/>
              <w:rPr>
                <w:sz w:val="14"/>
                <w:szCs w:val="14"/>
                <w:color w:val="auto"/>
              </w:rPr>
            </w:pPr>
          </w:p>
        </w:tc>
        <w:tc>
          <w:tcPr>
            <w:tcW w:w="5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Other</w:t>
            </w: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1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(335)</w:t>
            </w:r>
          </w:p>
        </w:tc>
      </w:tr>
      <w:tr>
        <w:trPr>
          <w:trHeight w:val="172"/>
        </w:trPr>
        <w:tc>
          <w:tcPr>
            <w:tcW w:w="20" w:type="dxa"/>
            <w:vAlign w:val="bottom"/>
          </w:tcPr>
          <w:p>
            <w:pPr>
              <w:spacing w:after="0"/>
              <w:rPr>
                <w:sz w:val="14"/>
                <w:szCs w:val="14"/>
                <w:color w:val="auto"/>
              </w:rPr>
            </w:pPr>
          </w:p>
        </w:tc>
        <w:tc>
          <w:tcPr>
            <w:tcW w:w="57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Change in operating assets and liabilities, net of acquisitions and dispositions:</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760" w:type="dxa"/>
            <w:vAlign w:val="bottom"/>
            <w:shd w:val="clear" w:color="auto" w:fill="CFF0FC"/>
          </w:tcPr>
          <w:p>
            <w:pPr>
              <w:ind w:left="700"/>
              <w:spacing w:after="0"/>
              <w:rPr>
                <w:sz w:val="20"/>
                <w:szCs w:val="20"/>
                <w:color w:val="auto"/>
              </w:rPr>
            </w:pPr>
            <w:r>
              <w:rPr>
                <w:rFonts w:ascii="Times New Roman" w:cs="Times New Roman" w:eastAsia="Times New Roman" w:hAnsi="Times New Roman"/>
                <w:sz w:val="14"/>
                <w:szCs w:val="14"/>
                <w:color w:val="auto"/>
              </w:rPr>
              <w:t>Accounts receivable</w:t>
            </w:r>
          </w:p>
        </w:tc>
        <w:tc>
          <w:tcPr>
            <w:tcW w:w="16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(235,949)</w:t>
            </w:r>
          </w:p>
        </w:tc>
        <w:tc>
          <w:tcPr>
            <w:tcW w:w="26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(162,689)</w:t>
            </w:r>
          </w:p>
        </w:tc>
      </w:tr>
      <w:tr>
        <w:trPr>
          <w:trHeight w:val="172"/>
        </w:trPr>
        <w:tc>
          <w:tcPr>
            <w:tcW w:w="20" w:type="dxa"/>
            <w:vAlign w:val="bottom"/>
          </w:tcPr>
          <w:p>
            <w:pPr>
              <w:spacing w:after="0"/>
              <w:rPr>
                <w:sz w:val="14"/>
                <w:szCs w:val="14"/>
                <w:color w:val="auto"/>
              </w:rPr>
            </w:pPr>
          </w:p>
        </w:tc>
        <w:tc>
          <w:tcPr>
            <w:tcW w:w="576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6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(41,057)</w:t>
            </w:r>
          </w:p>
        </w:tc>
        <w:tc>
          <w:tcPr>
            <w:tcW w:w="2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24,857</w:t>
            </w:r>
          </w:p>
        </w:tc>
        <w:tc>
          <w:tcPr>
            <w:tcW w:w="10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760" w:type="dxa"/>
            <w:vAlign w:val="bottom"/>
            <w:shd w:val="clear" w:color="auto" w:fill="CFF0FC"/>
          </w:tcPr>
          <w:p>
            <w:pPr>
              <w:ind w:left="700"/>
              <w:spacing w:after="0"/>
              <w:rPr>
                <w:sz w:val="20"/>
                <w:szCs w:val="20"/>
                <w:color w:val="auto"/>
              </w:rPr>
            </w:pPr>
            <w:r>
              <w:rPr>
                <w:rFonts w:ascii="Times New Roman" w:cs="Times New Roman" w:eastAsia="Times New Roman" w:hAnsi="Times New Roman"/>
                <w:sz w:val="14"/>
                <w:szCs w:val="14"/>
                <w:color w:val="auto"/>
              </w:rPr>
              <w:t>Inventories</w:t>
            </w: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143,408</w:t>
            </w:r>
          </w:p>
        </w:tc>
        <w:tc>
          <w:tcPr>
            <w:tcW w:w="1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(2,279)</w:t>
            </w:r>
          </w:p>
        </w:tc>
      </w:tr>
      <w:tr>
        <w:trPr>
          <w:trHeight w:val="172"/>
        </w:trPr>
        <w:tc>
          <w:tcPr>
            <w:tcW w:w="20" w:type="dxa"/>
            <w:vAlign w:val="bottom"/>
          </w:tcPr>
          <w:p>
            <w:pPr>
              <w:spacing w:after="0"/>
              <w:rPr>
                <w:sz w:val="14"/>
                <w:szCs w:val="14"/>
                <w:color w:val="auto"/>
              </w:rPr>
            </w:pPr>
          </w:p>
        </w:tc>
        <w:tc>
          <w:tcPr>
            <w:tcW w:w="576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Trade accounts payable</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54,920</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42,836</w:t>
            </w:r>
          </w:p>
        </w:tc>
        <w:tc>
          <w:tcPr>
            <w:tcW w:w="10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760" w:type="dxa"/>
            <w:vAlign w:val="bottom"/>
            <w:shd w:val="clear" w:color="auto" w:fill="CFF0FC"/>
          </w:tcPr>
          <w:p>
            <w:pPr>
              <w:ind w:left="700"/>
              <w:spacing w:after="0"/>
              <w:rPr>
                <w:sz w:val="20"/>
                <w:szCs w:val="20"/>
                <w:color w:val="auto"/>
              </w:rPr>
            </w:pPr>
            <w:r>
              <w:rPr>
                <w:rFonts w:ascii="Times New Roman" w:cs="Times New Roman" w:eastAsia="Times New Roman" w:hAnsi="Times New Roman"/>
                <w:sz w:val="14"/>
                <w:szCs w:val="14"/>
                <w:color w:val="auto"/>
              </w:rPr>
              <w:t>Accrued expenses</w:t>
            </w: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47,186</w:t>
            </w:r>
          </w:p>
        </w:tc>
        <w:tc>
          <w:tcPr>
            <w:tcW w:w="1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17,212</w:t>
            </w:r>
          </w:p>
        </w:tc>
        <w:tc>
          <w:tcPr>
            <w:tcW w:w="10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76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Other assets and liabilities</w:t>
            </w:r>
          </w:p>
        </w:tc>
        <w:tc>
          <w:tcPr>
            <w:tcW w:w="16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(30,978)</w:t>
            </w:r>
          </w:p>
        </w:tc>
        <w:tc>
          <w:tcPr>
            <w:tcW w:w="260" w:type="dxa"/>
            <w:vAlign w:val="bottom"/>
          </w:tcPr>
          <w:p>
            <w:pPr>
              <w:spacing w:after="0"/>
              <w:rPr>
                <w:sz w:val="14"/>
                <w:szCs w:val="14"/>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(27,734)</w:t>
            </w:r>
          </w:p>
        </w:tc>
      </w:tr>
      <w:tr>
        <w:trPr>
          <w:trHeight w:val="163"/>
        </w:trPr>
        <w:tc>
          <w:tcPr>
            <w:tcW w:w="20" w:type="dxa"/>
            <w:vAlign w:val="bottom"/>
          </w:tcPr>
          <w:p>
            <w:pPr>
              <w:spacing w:after="0"/>
              <w:rPr>
                <w:sz w:val="14"/>
                <w:szCs w:val="14"/>
                <w:color w:val="auto"/>
              </w:rPr>
            </w:pPr>
          </w:p>
        </w:tc>
        <w:tc>
          <w:tcPr>
            <w:tcW w:w="5760" w:type="dxa"/>
            <w:vAlign w:val="bottom"/>
            <w:tcBorders>
              <w:bottom w:val="single" w:sz="8" w:color="CFF0FC"/>
            </w:tcBorders>
            <w:shd w:val="clear" w:color="auto" w:fill="CFF0FC"/>
          </w:tcPr>
          <w:p>
            <w:pPr>
              <w:ind w:left="40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160" w:type="dxa"/>
            <w:vAlign w:val="bottom"/>
            <w:tcBorders>
              <w:top w:val="single" w:sz="8" w:color="auto"/>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371,181</w:t>
            </w:r>
          </w:p>
        </w:tc>
        <w:tc>
          <w:tcPr>
            <w:tcW w:w="18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top w:val="single" w:sz="8" w:color="auto"/>
              <w:bottom w:val="single" w:sz="8" w:color="auto"/>
            </w:tcBorders>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258,610</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Investing activities:</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1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(72,666)</w:t>
            </w:r>
          </w:p>
        </w:tc>
        <w:tc>
          <w:tcPr>
            <w:tcW w:w="26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(57,819)</w:t>
            </w:r>
          </w:p>
        </w:tc>
      </w:tr>
      <w:tr>
        <w:trPr>
          <w:trHeight w:val="172"/>
        </w:trPr>
        <w:tc>
          <w:tcPr>
            <w:tcW w:w="20" w:type="dxa"/>
            <w:vAlign w:val="bottom"/>
          </w:tcPr>
          <w:p>
            <w:pPr>
              <w:spacing w:after="0"/>
              <w:rPr>
                <w:sz w:val="14"/>
                <w:szCs w:val="14"/>
                <w:color w:val="auto"/>
              </w:rPr>
            </w:pPr>
          </w:p>
        </w:tc>
        <w:tc>
          <w:tcPr>
            <w:tcW w:w="57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Acquisitions of businesses</w:t>
            </w:r>
          </w:p>
        </w:tc>
        <w:tc>
          <w:tcPr>
            <w:tcW w:w="16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(44,132)</w:t>
            </w:r>
          </w:p>
        </w:tc>
        <w:tc>
          <w:tcPr>
            <w:tcW w:w="260" w:type="dxa"/>
            <w:vAlign w:val="bottom"/>
          </w:tcPr>
          <w:p>
            <w:pPr>
              <w:spacing w:after="0"/>
              <w:rPr>
                <w:sz w:val="14"/>
                <w:szCs w:val="14"/>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(8,308)</w:t>
            </w:r>
          </w:p>
        </w:tc>
      </w:tr>
      <w:tr>
        <w:trPr>
          <w:trHeight w:val="172"/>
        </w:trPr>
        <w:tc>
          <w:tcPr>
            <w:tcW w:w="20" w:type="dxa"/>
            <w:vAlign w:val="bottom"/>
          </w:tcPr>
          <w:p>
            <w:pPr>
              <w:spacing w:after="0"/>
              <w:rPr>
                <w:sz w:val="14"/>
                <w:szCs w:val="14"/>
                <w:color w:val="auto"/>
              </w:rPr>
            </w:pPr>
          </w:p>
        </w:tc>
        <w:tc>
          <w:tcPr>
            <w:tcW w:w="5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Proceeds from sale of discontinued operations</w:t>
            </w: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810,908</w:t>
            </w:r>
          </w:p>
        </w:tc>
        <w:tc>
          <w:tcPr>
            <w:tcW w:w="1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72"/>
        </w:trPr>
        <w:tc>
          <w:tcPr>
            <w:tcW w:w="20" w:type="dxa"/>
            <w:vAlign w:val="bottom"/>
          </w:tcPr>
          <w:p>
            <w:pPr>
              <w:spacing w:after="0"/>
              <w:rPr>
                <w:sz w:val="14"/>
                <w:szCs w:val="14"/>
                <w:color w:val="auto"/>
              </w:rPr>
            </w:pPr>
          </w:p>
        </w:tc>
        <w:tc>
          <w:tcPr>
            <w:tcW w:w="57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1,893</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(5,068)</w:t>
            </w: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576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1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696,003</w:t>
            </w:r>
          </w:p>
        </w:tc>
        <w:tc>
          <w:tcPr>
            <w:tcW w:w="180" w:type="dxa"/>
            <w:vAlign w:val="bottom"/>
            <w:shd w:val="clear" w:color="auto" w:fill="CFF0FC"/>
          </w:tcPr>
          <w:p>
            <w:pPr>
              <w:spacing w:after="0"/>
              <w:rPr>
                <w:sz w:val="14"/>
                <w:szCs w:val="14"/>
                <w:color w:val="auto"/>
              </w:rPr>
            </w:pPr>
          </w:p>
        </w:tc>
        <w:tc>
          <w:tcPr>
            <w:tcW w:w="26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(71,195)</w:t>
            </w:r>
          </w:p>
        </w:tc>
      </w:tr>
      <w:tr>
        <w:trPr>
          <w:trHeight w:val="163"/>
        </w:trPr>
        <w:tc>
          <w:tcPr>
            <w:tcW w:w="20" w:type="dxa"/>
            <w:vAlign w:val="bottom"/>
          </w:tcPr>
          <w:p>
            <w:pPr>
              <w:spacing w:after="0"/>
              <w:rPr>
                <w:sz w:val="14"/>
                <w:szCs w:val="14"/>
                <w:color w:val="auto"/>
              </w:rPr>
            </w:pPr>
          </w:p>
        </w:tc>
        <w:tc>
          <w:tcPr>
            <w:tcW w:w="57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4"/>
                <w:szCs w:val="14"/>
                <w:b w:val="1"/>
                <w:bCs w:val="1"/>
                <w:color w:val="auto"/>
              </w:rPr>
              <w:t>Financing activities:</w:t>
            </w:r>
          </w:p>
        </w:tc>
        <w:tc>
          <w:tcPr>
            <w:tcW w:w="16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80" w:type="dxa"/>
            <w:vAlign w:val="bottom"/>
            <w:tcBorders>
              <w:top w:val="single" w:sz="8" w:color="CFF0FC"/>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Long-term debt repayments</w:t>
            </w:r>
          </w:p>
        </w:tc>
        <w:tc>
          <w:tcPr>
            <w:tcW w:w="1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(332,300)</w:t>
            </w:r>
          </w:p>
        </w:tc>
        <w:tc>
          <w:tcPr>
            <w:tcW w:w="26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(37,933)</w:t>
            </w:r>
          </w:p>
        </w:tc>
      </w:tr>
      <w:tr>
        <w:trPr>
          <w:trHeight w:val="172"/>
        </w:trPr>
        <w:tc>
          <w:tcPr>
            <w:tcW w:w="20" w:type="dxa"/>
            <w:vAlign w:val="bottom"/>
          </w:tcPr>
          <w:p>
            <w:pPr>
              <w:spacing w:after="0"/>
              <w:rPr>
                <w:sz w:val="14"/>
                <w:szCs w:val="14"/>
                <w:color w:val="auto"/>
              </w:rPr>
            </w:pPr>
          </w:p>
        </w:tc>
        <w:tc>
          <w:tcPr>
            <w:tcW w:w="57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Repayments of the Revolving Credit Facility, net</w:t>
            </w:r>
          </w:p>
        </w:tc>
        <w:tc>
          <w:tcPr>
            <w:tcW w:w="16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4"/>
                <w:szCs w:val="14"/>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(63,300)</w:t>
            </w:r>
          </w:p>
        </w:tc>
      </w:tr>
      <w:tr>
        <w:trPr>
          <w:trHeight w:val="172"/>
        </w:trPr>
        <w:tc>
          <w:tcPr>
            <w:tcW w:w="20" w:type="dxa"/>
            <w:vAlign w:val="bottom"/>
          </w:tcPr>
          <w:p>
            <w:pPr>
              <w:spacing w:after="0"/>
              <w:rPr>
                <w:sz w:val="14"/>
                <w:szCs w:val="14"/>
                <w:color w:val="auto"/>
              </w:rPr>
            </w:pPr>
          </w:p>
        </w:tc>
        <w:tc>
          <w:tcPr>
            <w:tcW w:w="5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Payments of debt issuance costs</w:t>
            </w:r>
          </w:p>
        </w:tc>
        <w:tc>
          <w:tcPr>
            <w:tcW w:w="16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(3,378)</w:t>
            </w:r>
          </w:p>
        </w:tc>
        <w:tc>
          <w:tcPr>
            <w:tcW w:w="26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72"/>
        </w:trPr>
        <w:tc>
          <w:tcPr>
            <w:tcW w:w="20" w:type="dxa"/>
            <w:vAlign w:val="bottom"/>
          </w:tcPr>
          <w:p>
            <w:pPr>
              <w:spacing w:after="0"/>
              <w:rPr>
                <w:sz w:val="14"/>
                <w:szCs w:val="14"/>
                <w:color w:val="auto"/>
              </w:rPr>
            </w:pPr>
          </w:p>
        </w:tc>
        <w:tc>
          <w:tcPr>
            <w:tcW w:w="57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Repurchases of shares of common stock</w:t>
            </w:r>
          </w:p>
        </w:tc>
        <w:tc>
          <w:tcPr>
            <w:tcW w:w="16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(120,000)</w:t>
            </w:r>
          </w:p>
        </w:tc>
        <w:tc>
          <w:tcPr>
            <w:tcW w:w="26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72"/>
        </w:trPr>
        <w:tc>
          <w:tcPr>
            <w:tcW w:w="20" w:type="dxa"/>
            <w:vAlign w:val="bottom"/>
          </w:tcPr>
          <w:p>
            <w:pPr>
              <w:spacing w:after="0"/>
              <w:rPr>
                <w:sz w:val="14"/>
                <w:szCs w:val="14"/>
                <w:color w:val="auto"/>
              </w:rPr>
            </w:pPr>
          </w:p>
        </w:tc>
        <w:tc>
          <w:tcPr>
            <w:tcW w:w="5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Proceeds from shares issued under share-based compensation plan</w:t>
            </w: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37,256</w:t>
            </w:r>
          </w:p>
        </w:tc>
        <w:tc>
          <w:tcPr>
            <w:tcW w:w="1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14,681</w:t>
            </w:r>
          </w:p>
        </w:tc>
        <w:tc>
          <w:tcPr>
            <w:tcW w:w="10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7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Taxes paid related to net share settlement of equity awards</w:t>
            </w:r>
          </w:p>
        </w:tc>
        <w:tc>
          <w:tcPr>
            <w:tcW w:w="16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(11,548)</w:t>
            </w:r>
          </w:p>
        </w:tc>
        <w:tc>
          <w:tcPr>
            <w:tcW w:w="260" w:type="dxa"/>
            <w:vAlign w:val="bottom"/>
          </w:tcPr>
          <w:p>
            <w:pPr>
              <w:spacing w:after="0"/>
              <w:rPr>
                <w:sz w:val="14"/>
                <w:szCs w:val="14"/>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(5,583)</w:t>
            </w:r>
          </w:p>
        </w:tc>
      </w:tr>
      <w:tr>
        <w:trPr>
          <w:trHeight w:val="172"/>
        </w:trPr>
        <w:tc>
          <w:tcPr>
            <w:tcW w:w="20" w:type="dxa"/>
            <w:vAlign w:val="bottom"/>
          </w:tcPr>
          <w:p>
            <w:pPr>
              <w:spacing w:after="0"/>
              <w:rPr>
                <w:sz w:val="14"/>
                <w:szCs w:val="14"/>
                <w:color w:val="auto"/>
              </w:rPr>
            </w:pPr>
          </w:p>
        </w:tc>
        <w:tc>
          <w:tcPr>
            <w:tcW w:w="5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Purchase of redeemable noncontrolling interest</w:t>
            </w:r>
          </w:p>
        </w:tc>
        <w:tc>
          <w:tcPr>
            <w:tcW w:w="16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(267)</w:t>
            </w:r>
          </w:p>
        </w:tc>
        <w:tc>
          <w:tcPr>
            <w:tcW w:w="26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(5,100)</w:t>
            </w:r>
          </w:p>
        </w:tc>
      </w:tr>
      <w:tr>
        <w:trPr>
          <w:trHeight w:val="172"/>
        </w:trPr>
        <w:tc>
          <w:tcPr>
            <w:tcW w:w="20" w:type="dxa"/>
            <w:vAlign w:val="bottom"/>
          </w:tcPr>
          <w:p>
            <w:pPr>
              <w:spacing w:after="0"/>
              <w:rPr>
                <w:sz w:val="14"/>
                <w:szCs w:val="14"/>
                <w:color w:val="auto"/>
              </w:rPr>
            </w:pPr>
          </w:p>
        </w:tc>
        <w:tc>
          <w:tcPr>
            <w:tcW w:w="57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Payments of financing lease obligations</w:t>
            </w:r>
          </w:p>
        </w:tc>
        <w:tc>
          <w:tcPr>
            <w:tcW w:w="16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(7,584)</w:t>
            </w:r>
          </w:p>
        </w:tc>
        <w:tc>
          <w:tcPr>
            <w:tcW w:w="260" w:type="dxa"/>
            <w:vAlign w:val="bottom"/>
          </w:tcPr>
          <w:p>
            <w:pPr>
              <w:spacing w:after="0"/>
              <w:rPr>
                <w:sz w:val="14"/>
                <w:szCs w:val="14"/>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(10,133)</w:t>
            </w: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576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1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(437,821)</w:t>
            </w:r>
          </w:p>
        </w:tc>
        <w:tc>
          <w:tcPr>
            <w:tcW w:w="26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(107,368)</w:t>
            </w:r>
          </w:p>
        </w:tc>
      </w:tr>
      <w:tr>
        <w:trPr>
          <w:trHeight w:val="163"/>
        </w:trPr>
        <w:tc>
          <w:tcPr>
            <w:tcW w:w="20" w:type="dxa"/>
            <w:vAlign w:val="bottom"/>
          </w:tcPr>
          <w:p>
            <w:pPr>
              <w:spacing w:after="0"/>
              <w:rPr>
                <w:sz w:val="14"/>
                <w:szCs w:val="14"/>
                <w:color w:val="auto"/>
              </w:rPr>
            </w:pPr>
          </w:p>
        </w:tc>
        <w:tc>
          <w:tcPr>
            <w:tcW w:w="5760" w:type="dxa"/>
            <w:vAlign w:val="bottom"/>
            <w:tcBorders>
              <w:top w:val="single" w:sz="8" w:color="CFF0FC"/>
            </w:tcBorders>
          </w:tcPr>
          <w:p>
            <w:pPr>
              <w:ind w:left="400"/>
              <w:spacing w:after="0"/>
              <w:rPr>
                <w:sz w:val="20"/>
                <w:szCs w:val="20"/>
                <w:color w:val="auto"/>
              </w:rPr>
            </w:pPr>
            <w:r>
              <w:rPr>
                <w:rFonts w:ascii="Times New Roman" w:cs="Times New Roman" w:eastAsia="Times New Roman" w:hAnsi="Times New Roman"/>
                <w:sz w:val="14"/>
                <w:szCs w:val="14"/>
                <w:color w:val="auto"/>
              </w:rPr>
              <w:t>Net increase in cash and cash equivalents</w:t>
            </w:r>
          </w:p>
        </w:tc>
        <w:tc>
          <w:tcPr>
            <w:tcW w:w="16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629,363</w:t>
            </w:r>
          </w:p>
        </w:tc>
        <w:tc>
          <w:tcPr>
            <w:tcW w:w="180" w:type="dxa"/>
            <w:vAlign w:val="bottom"/>
            <w:tcBorders>
              <w:top w:val="single" w:sz="8" w:color="CFF0FC"/>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80,047</w:t>
            </w:r>
          </w:p>
        </w:tc>
        <w:tc>
          <w:tcPr>
            <w:tcW w:w="100" w:type="dxa"/>
            <w:vAlign w:val="bottom"/>
            <w:tcBorders>
              <w:top w:val="single" w:sz="8" w:color="CFF0FC"/>
            </w:tcBorders>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7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16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88,477</w:t>
            </w:r>
          </w:p>
        </w:tc>
        <w:tc>
          <w:tcPr>
            <w:tcW w:w="18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61,253</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57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Cash and cash equivalents at end of period</w:t>
            </w: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717,840</w:t>
            </w:r>
          </w:p>
        </w:tc>
        <w:tc>
          <w:tcPr>
            <w:tcW w:w="180" w:type="dxa"/>
            <w:vAlign w:val="bottom"/>
          </w:tcPr>
          <w:p>
            <w:pPr>
              <w:spacing w:after="0"/>
              <w:rPr>
                <w:sz w:val="14"/>
                <w:szCs w:val="14"/>
                <w:color w:val="auto"/>
              </w:rPr>
            </w:pP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141,300</w:t>
            </w:r>
          </w:p>
        </w:tc>
        <w:tc>
          <w:tcPr>
            <w:tcW w:w="100" w:type="dxa"/>
            <w:vAlign w:val="bottom"/>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5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Cash and cash equivalents included in assets held for sale at end of period</w:t>
            </w:r>
          </w:p>
        </w:tc>
        <w:tc>
          <w:tcPr>
            <w:tcW w:w="16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956</w:t>
            </w:r>
          </w:p>
        </w:tc>
        <w:tc>
          <w:tcPr>
            <w:tcW w:w="100" w:type="dxa"/>
            <w:vAlign w:val="bottom"/>
            <w:shd w:val="clear" w:color="auto" w:fill="CFF0FC"/>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5760" w:type="dxa"/>
            <w:vAlign w:val="bottom"/>
            <w:tcBorders>
              <w:top w:val="single" w:sz="8" w:color="CFF0FC"/>
            </w:tcBorders>
          </w:tcPr>
          <w:p>
            <w:pPr>
              <w:ind w:left="120"/>
              <w:spacing w:after="0"/>
              <w:rPr>
                <w:sz w:val="20"/>
                <w:szCs w:val="20"/>
                <w:color w:val="auto"/>
              </w:rPr>
            </w:pPr>
            <w:r>
              <w:rPr>
                <w:rFonts w:ascii="Times New Roman" w:cs="Times New Roman" w:eastAsia="Times New Roman" w:hAnsi="Times New Roman"/>
                <w:sz w:val="14"/>
                <w:szCs w:val="14"/>
                <w:color w:val="auto"/>
              </w:rPr>
              <w:t>Cash and cash equivalents included in continuing operations at end of period</w:t>
            </w: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717,840</w:t>
            </w:r>
          </w:p>
        </w:tc>
        <w:tc>
          <w:tcPr>
            <w:tcW w:w="180" w:type="dxa"/>
            <w:vAlign w:val="bottom"/>
            <w:tcBorders>
              <w:top w:val="single" w:sz="8" w:color="CFF0FC"/>
            </w:tcBorders>
          </w:tcPr>
          <w:p>
            <w:pPr>
              <w:spacing w:after="0"/>
              <w:rPr>
                <w:sz w:val="14"/>
                <w:szCs w:val="14"/>
                <w:color w:val="auto"/>
              </w:rPr>
            </w:pP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140,344</w:t>
            </w:r>
          </w:p>
        </w:tc>
        <w:tc>
          <w:tcPr>
            <w:tcW w:w="100" w:type="dxa"/>
            <w:vAlign w:val="bottom"/>
            <w:tcBorders>
              <w:top w:val="single" w:sz="8" w:color="CFF0FC"/>
            </w:tcBorders>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4639945</wp:posOffset>
            </wp:positionH>
            <wp:positionV relativeFrom="paragraph">
              <wp:posOffset>-2366010</wp:posOffset>
            </wp:positionV>
            <wp:extent cx="47625" cy="69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-2366010</wp:posOffset>
            </wp:positionV>
            <wp:extent cx="54610" cy="69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4639945</wp:posOffset>
            </wp:positionH>
            <wp:positionV relativeFrom="paragraph">
              <wp:posOffset>-1697355</wp:posOffset>
            </wp:positionV>
            <wp:extent cx="47625" cy="69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-1697355</wp:posOffset>
            </wp:positionV>
            <wp:extent cx="54610" cy="69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4639945</wp:posOffset>
            </wp:positionH>
            <wp:positionV relativeFrom="paragraph">
              <wp:posOffset>-592455</wp:posOffset>
            </wp:positionV>
            <wp:extent cx="47625" cy="69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-592455</wp:posOffset>
            </wp:positionV>
            <wp:extent cx="54610" cy="69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4639945</wp:posOffset>
            </wp:positionH>
            <wp:positionV relativeFrom="paragraph">
              <wp:posOffset>-367665</wp:posOffset>
            </wp:positionV>
            <wp:extent cx="47625" cy="69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-367665</wp:posOffset>
            </wp:positionV>
            <wp:extent cx="54610" cy="69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4639945</wp:posOffset>
            </wp:positionH>
            <wp:positionV relativeFrom="paragraph">
              <wp:posOffset>-135890</wp:posOffset>
            </wp:positionV>
            <wp:extent cx="47625" cy="69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-135890</wp:posOffset>
            </wp:positionV>
            <wp:extent cx="54610" cy="69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4610" cy="6985"/>
                    </a:xfrm>
                    <a:prstGeom prst="rect">
                      <a:avLst/>
                    </a:prstGeom>
                    <a:noFill/>
                  </pic:spPr>
                </pic:pic>
              </a:graphicData>
            </a:graphic>
          </wp:anchor>
        </w:drawing>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See accompanying notes to the condensed consolidated financial statements.</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96" w:right="1440"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BrightSpring Health Services, Inc. and Subsidiaries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231F20"/>
        </w:rPr>
        <w:t>Condensed Consolidated Statements of Cash Flows (continued)</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231F20"/>
        </w:rPr>
        <w:t>(In thousands)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231F20"/>
        </w:rPr>
        <w:t>(Unaudited)</w:t>
      </w:r>
    </w:p>
    <w:p>
      <w:pPr>
        <w:spacing w:after="0" w:line="78" w:lineRule="exact"/>
        <w:rPr>
          <w:sz w:val="20"/>
          <w:szCs w:val="20"/>
          <w:color w:val="auto"/>
        </w:rPr>
      </w:pPr>
    </w:p>
    <w:p>
      <w:pPr>
        <w:jc w:val="center"/>
        <w:ind w:left="5280"/>
        <w:spacing w:after="0"/>
        <w:rPr>
          <w:sz w:val="20"/>
          <w:szCs w:val="20"/>
          <w:color w:val="auto"/>
        </w:rPr>
      </w:pPr>
      <w:r>
        <w:rPr>
          <w:rFonts w:ascii="Times New Roman" w:cs="Times New Roman" w:eastAsia="Times New Roman" w:hAnsi="Times New Roman"/>
          <w:sz w:val="11"/>
          <w:szCs w:val="11"/>
          <w:b w:val="1"/>
          <w:bCs w:val="1"/>
          <w:color w:val="auto"/>
        </w:rPr>
        <w:t>For the Nine Months Ended</w:t>
      </w:r>
    </w:p>
    <w:p>
      <w:pPr>
        <w:spacing w:after="0" w:line="3" w:lineRule="exact"/>
        <w:rPr>
          <w:sz w:val="20"/>
          <w:szCs w:val="20"/>
          <w:color w:val="auto"/>
        </w:rPr>
      </w:pPr>
    </w:p>
    <w:p>
      <w:pPr>
        <w:jc w:val="center"/>
        <w:ind w:left="5280"/>
        <w:spacing w:after="0"/>
        <w:rPr>
          <w:sz w:val="20"/>
          <w:szCs w:val="20"/>
          <w:color w:val="auto"/>
        </w:rPr>
      </w:pPr>
      <w:r>
        <w:rPr>
          <w:rFonts w:ascii="Times New Roman" w:cs="Times New Roman" w:eastAsia="Times New Roman" w:hAnsi="Times New Roman"/>
          <w:sz w:val="11"/>
          <w:szCs w:val="11"/>
          <w:b w:val="1"/>
          <w:bCs w:val="1"/>
          <w:color w:val="auto"/>
        </w:rPr>
        <w:t>September 30,</w:t>
      </w:r>
    </w:p>
    <w:tbl>
      <w:tblPr>
        <w:tblLayout w:type="fixed"/>
        <w:tblInd w:w="120" w:type="dxa"/>
        <w:tblCellMar>
          <w:top w:w="0" w:type="dxa"/>
          <w:left w:w="0" w:type="dxa"/>
          <w:bottom w:w="0" w:type="dxa"/>
          <w:right w:w="0" w:type="dxa"/>
        </w:tblCellMar>
      </w:tblPr>
      <w:tr>
        <w:trPr>
          <w:trHeight w:val="109"/>
        </w:trPr>
        <w:tc>
          <w:tcPr>
            <w:tcW w:w="520" w:type="dxa"/>
            <w:vAlign w:val="bottom"/>
          </w:tcPr>
          <w:p>
            <w:pPr>
              <w:spacing w:after="0"/>
              <w:rPr>
                <w:sz w:val="9"/>
                <w:szCs w:val="9"/>
                <w:color w:val="auto"/>
              </w:rPr>
            </w:pPr>
          </w:p>
        </w:tc>
        <w:tc>
          <w:tcPr>
            <w:tcW w:w="4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Borders>
              <w:top w:val="single" w:sz="8" w:color="auto"/>
              <w:bottom w:val="single" w:sz="8" w:color="auto"/>
            </w:tcBorders>
          </w:tcPr>
          <w:p>
            <w:pPr>
              <w:spacing w:after="0"/>
              <w:rPr>
                <w:sz w:val="9"/>
                <w:szCs w:val="9"/>
                <w:color w:val="auto"/>
              </w:rPr>
            </w:pPr>
          </w:p>
        </w:tc>
        <w:tc>
          <w:tcPr>
            <w:tcW w:w="820" w:type="dxa"/>
            <w:vAlign w:val="bottom"/>
            <w:tcBorders>
              <w:top w:val="single" w:sz="8" w:color="auto"/>
              <w:bottom w:val="single" w:sz="8" w:color="auto"/>
            </w:tcBorders>
          </w:tcPr>
          <w:p>
            <w:pPr>
              <w:jc w:val="right"/>
              <w:ind w:right="351"/>
              <w:spacing w:after="0" w:line="109" w:lineRule="exact"/>
              <w:rPr>
                <w:sz w:val="20"/>
                <w:szCs w:val="20"/>
                <w:color w:val="auto"/>
              </w:rPr>
            </w:pPr>
            <w:r>
              <w:rPr>
                <w:rFonts w:ascii="Times New Roman" w:cs="Times New Roman" w:eastAsia="Times New Roman" w:hAnsi="Times New Roman"/>
                <w:sz w:val="11"/>
                <w:szCs w:val="11"/>
                <w:b w:val="1"/>
                <w:bCs w:val="1"/>
                <w:color w:val="auto"/>
              </w:rPr>
              <w:t>2026</w:t>
            </w:r>
          </w:p>
        </w:tc>
        <w:tc>
          <w:tcPr>
            <w:tcW w:w="180" w:type="dxa"/>
            <w:vAlign w:val="bottom"/>
            <w:tcBorders>
              <w:top w:val="single" w:sz="8" w:color="auto"/>
            </w:tcBorders>
          </w:tcPr>
          <w:p>
            <w:pPr>
              <w:spacing w:after="0"/>
              <w:rPr>
                <w:sz w:val="9"/>
                <w:szCs w:val="9"/>
                <w:color w:val="auto"/>
              </w:rPr>
            </w:pPr>
          </w:p>
        </w:tc>
        <w:tc>
          <w:tcPr>
            <w:tcW w:w="240" w:type="dxa"/>
            <w:vAlign w:val="bottom"/>
            <w:tcBorders>
              <w:top w:val="single" w:sz="8" w:color="auto"/>
              <w:bottom w:val="single" w:sz="8" w:color="auto"/>
            </w:tcBorders>
          </w:tcPr>
          <w:p>
            <w:pPr>
              <w:spacing w:after="0"/>
              <w:rPr>
                <w:sz w:val="9"/>
                <w:szCs w:val="9"/>
                <w:color w:val="auto"/>
              </w:rPr>
            </w:pPr>
          </w:p>
        </w:tc>
        <w:tc>
          <w:tcPr>
            <w:tcW w:w="820" w:type="dxa"/>
            <w:vAlign w:val="bottom"/>
            <w:tcBorders>
              <w:top w:val="single" w:sz="8" w:color="auto"/>
              <w:bottom w:val="single" w:sz="8" w:color="auto"/>
            </w:tcBorders>
          </w:tcPr>
          <w:p>
            <w:pPr>
              <w:jc w:val="right"/>
              <w:ind w:right="351"/>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r>
      <w:tr>
        <w:trPr>
          <w:trHeight w:val="163"/>
        </w:trPr>
        <w:tc>
          <w:tcPr>
            <w:tcW w:w="520" w:type="dxa"/>
            <w:vAlign w:val="bottom"/>
          </w:tcPr>
          <w:p>
            <w:pPr>
              <w:spacing w:after="0"/>
              <w:rPr>
                <w:sz w:val="14"/>
                <w:szCs w:val="14"/>
                <w:color w:val="auto"/>
              </w:rPr>
            </w:pPr>
          </w:p>
        </w:tc>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Supplemental disclosures of cash flow information:</w:t>
            </w:r>
          </w:p>
        </w:tc>
        <w:tc>
          <w:tcPr>
            <w:tcW w:w="6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20" w:type="dxa"/>
            <w:vAlign w:val="bottom"/>
          </w:tcPr>
          <w:p>
            <w:pPr>
              <w:spacing w:after="0"/>
              <w:rPr>
                <w:sz w:val="14"/>
                <w:szCs w:val="14"/>
                <w:color w:val="auto"/>
              </w:rPr>
            </w:pPr>
          </w:p>
        </w:tc>
      </w:tr>
      <w:tr>
        <w:trPr>
          <w:trHeight w:val="172"/>
        </w:trPr>
        <w:tc>
          <w:tcPr>
            <w:tcW w:w="520" w:type="dxa"/>
            <w:vAlign w:val="bottom"/>
          </w:tcPr>
          <w:p>
            <w:pPr>
              <w:spacing w:after="0"/>
              <w:rPr>
                <w:sz w:val="14"/>
                <w:szCs w:val="14"/>
                <w:color w:val="auto"/>
              </w:rPr>
            </w:pPr>
          </w:p>
        </w:tc>
        <w:tc>
          <w:tcPr>
            <w:tcW w:w="4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Cash paid for:</w:t>
            </w: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2"/>
        </w:trPr>
        <w:tc>
          <w:tcPr>
            <w:tcW w:w="520" w:type="dxa"/>
            <w:vAlign w:val="bottom"/>
          </w:tcPr>
          <w:p>
            <w:pPr>
              <w:spacing w:after="0"/>
              <w:rPr>
                <w:sz w:val="14"/>
                <w:szCs w:val="14"/>
                <w:color w:val="auto"/>
              </w:rPr>
            </w:pPr>
          </w:p>
        </w:tc>
        <w:tc>
          <w:tcPr>
            <w:tcW w:w="468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4"/>
                <w:szCs w:val="14"/>
                <w:color w:val="auto"/>
              </w:rPr>
              <w:t>Interest, net</w:t>
            </w: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102,994</w:t>
            </w:r>
          </w:p>
        </w:tc>
        <w:tc>
          <w:tcPr>
            <w:tcW w:w="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137,872</w:t>
            </w:r>
          </w:p>
        </w:tc>
        <w:tc>
          <w:tcPr>
            <w:tcW w:w="80" w:type="dxa"/>
            <w:vAlign w:val="bottom"/>
            <w:shd w:val="clear" w:color="auto" w:fill="CFF0FC"/>
          </w:tcPr>
          <w:p>
            <w:pPr>
              <w:spacing w:after="0"/>
              <w:rPr>
                <w:sz w:val="14"/>
                <w:szCs w:val="14"/>
                <w:color w:val="auto"/>
              </w:rPr>
            </w:pPr>
          </w:p>
        </w:tc>
        <w:tc>
          <w:tcPr>
            <w:tcW w:w="520" w:type="dxa"/>
            <w:vAlign w:val="bottom"/>
          </w:tcPr>
          <w:p>
            <w:pPr>
              <w:spacing w:after="0"/>
              <w:rPr>
                <w:sz w:val="14"/>
                <w:szCs w:val="14"/>
                <w:color w:val="auto"/>
              </w:rPr>
            </w:pPr>
          </w:p>
        </w:tc>
      </w:tr>
      <w:tr>
        <w:trPr>
          <w:trHeight w:val="172"/>
        </w:trPr>
        <w:tc>
          <w:tcPr>
            <w:tcW w:w="520" w:type="dxa"/>
            <w:vAlign w:val="bottom"/>
          </w:tcPr>
          <w:p>
            <w:pPr>
              <w:spacing w:after="0"/>
              <w:rPr>
                <w:sz w:val="14"/>
                <w:szCs w:val="14"/>
                <w:color w:val="auto"/>
              </w:rPr>
            </w:pPr>
          </w:p>
        </w:tc>
        <w:tc>
          <w:tcPr>
            <w:tcW w:w="468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Income taxes, net of refunds</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158,888</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14,851</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2"/>
        </w:trPr>
        <w:tc>
          <w:tcPr>
            <w:tcW w:w="520" w:type="dxa"/>
            <w:vAlign w:val="bottom"/>
          </w:tcPr>
          <w:p>
            <w:pPr>
              <w:spacing w:after="0"/>
              <w:rPr>
                <w:sz w:val="14"/>
                <w:szCs w:val="14"/>
                <w:color w:val="auto"/>
              </w:rPr>
            </w:pPr>
          </w:p>
        </w:tc>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Supplemental schedule of non-cash investing and financing activities:</w:t>
            </w:r>
          </w:p>
        </w:tc>
        <w:tc>
          <w:tcPr>
            <w:tcW w:w="6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20" w:type="dxa"/>
            <w:vAlign w:val="bottom"/>
          </w:tcPr>
          <w:p>
            <w:pPr>
              <w:spacing w:after="0"/>
              <w:rPr>
                <w:sz w:val="14"/>
                <w:szCs w:val="14"/>
                <w:color w:val="auto"/>
              </w:rPr>
            </w:pPr>
          </w:p>
        </w:tc>
      </w:tr>
      <w:tr>
        <w:trPr>
          <w:trHeight w:val="172"/>
        </w:trPr>
        <w:tc>
          <w:tcPr>
            <w:tcW w:w="520" w:type="dxa"/>
            <w:vAlign w:val="bottom"/>
          </w:tcPr>
          <w:p>
            <w:pPr>
              <w:spacing w:after="0"/>
              <w:rPr>
                <w:sz w:val="14"/>
                <w:szCs w:val="14"/>
                <w:color w:val="auto"/>
              </w:rPr>
            </w:pPr>
          </w:p>
        </w:tc>
        <w:tc>
          <w:tcPr>
            <w:tcW w:w="468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Note issued in connection with an acquisition</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4"/>
                <w:szCs w:val="14"/>
                <w:color w:val="auto"/>
              </w:rPr>
            </w:pPr>
          </w:p>
        </w:tc>
      </w:tr>
      <w:tr>
        <w:trPr>
          <w:trHeight w:val="172"/>
        </w:trPr>
        <w:tc>
          <w:tcPr>
            <w:tcW w:w="520" w:type="dxa"/>
            <w:vAlign w:val="bottom"/>
          </w:tcPr>
          <w:p>
            <w:pPr>
              <w:spacing w:after="0"/>
              <w:rPr>
                <w:sz w:val="14"/>
                <w:szCs w:val="14"/>
                <w:color w:val="auto"/>
              </w:rPr>
            </w:pPr>
          </w:p>
        </w:tc>
        <w:tc>
          <w:tcPr>
            <w:tcW w:w="468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4"/>
                <w:szCs w:val="14"/>
                <w:color w:val="auto"/>
              </w:rPr>
              <w:t>Financing lease obligations assumed</w:t>
            </w: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4,851</w:t>
            </w:r>
          </w:p>
        </w:tc>
        <w:tc>
          <w:tcPr>
            <w:tcW w:w="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10,452</w:t>
            </w:r>
          </w:p>
        </w:tc>
        <w:tc>
          <w:tcPr>
            <w:tcW w:w="80" w:type="dxa"/>
            <w:vAlign w:val="bottom"/>
            <w:shd w:val="clear" w:color="auto" w:fill="CFF0FC"/>
          </w:tcPr>
          <w:p>
            <w:pPr>
              <w:spacing w:after="0"/>
              <w:rPr>
                <w:sz w:val="14"/>
                <w:szCs w:val="14"/>
                <w:color w:val="auto"/>
              </w:rPr>
            </w:pPr>
          </w:p>
        </w:tc>
        <w:tc>
          <w:tcPr>
            <w:tcW w:w="520" w:type="dxa"/>
            <w:vAlign w:val="bottom"/>
          </w:tcPr>
          <w:p>
            <w:pPr>
              <w:spacing w:after="0"/>
              <w:rPr>
                <w:sz w:val="14"/>
                <w:szCs w:val="14"/>
                <w:color w:val="auto"/>
              </w:rPr>
            </w:pPr>
          </w:p>
        </w:tc>
      </w:tr>
      <w:tr>
        <w:trPr>
          <w:trHeight w:val="186"/>
        </w:trPr>
        <w:tc>
          <w:tcPr>
            <w:tcW w:w="520" w:type="dxa"/>
            <w:vAlign w:val="bottom"/>
          </w:tcPr>
          <w:p>
            <w:pPr>
              <w:spacing w:after="0"/>
              <w:rPr>
                <w:sz w:val="16"/>
                <w:szCs w:val="16"/>
                <w:color w:val="auto"/>
              </w:rPr>
            </w:pPr>
          </w:p>
        </w:tc>
        <w:tc>
          <w:tcPr>
            <w:tcW w:w="468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Purchases of property and equipment in accounts payable</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2,615</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2,856</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501"/>
        </w:trPr>
        <w:tc>
          <w:tcPr>
            <w:tcW w:w="5200" w:type="dxa"/>
            <w:vAlign w:val="bottom"/>
            <w:gridSpan w:val="2"/>
          </w:tcPr>
          <w:p>
            <w:pPr>
              <w:jc w:val="right"/>
              <w:ind w:right="708"/>
              <w:spacing w:after="0"/>
              <w:rPr>
                <w:sz w:val="20"/>
                <w:szCs w:val="20"/>
                <w:color w:val="auto"/>
              </w:rPr>
            </w:pPr>
            <w:r>
              <w:rPr>
                <w:rFonts w:ascii="Times New Roman" w:cs="Times New Roman" w:eastAsia="Times New Roman" w:hAnsi="Times New Roman"/>
                <w:sz w:val="14"/>
                <w:szCs w:val="14"/>
                <w:color w:val="auto"/>
              </w:rPr>
              <w:t>9</w:t>
            </w: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604"/>
        </w:trPr>
        <w:tc>
          <w:tcPr>
            <w:tcW w:w="520" w:type="dxa"/>
            <w:vAlign w:val="bottom"/>
            <w:tcBorders>
              <w:bottom w:val="single" w:sz="8" w:color="9A9A9A"/>
            </w:tcBorders>
          </w:tcPr>
          <w:p>
            <w:pPr>
              <w:spacing w:after="0"/>
              <w:rPr>
                <w:sz w:val="24"/>
                <w:szCs w:val="24"/>
                <w:color w:val="auto"/>
              </w:rPr>
            </w:pPr>
          </w:p>
        </w:tc>
        <w:tc>
          <w:tcPr>
            <w:tcW w:w="46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5629910</wp:posOffset>
            </wp:positionH>
            <wp:positionV relativeFrom="paragraph">
              <wp:posOffset>-25400</wp:posOffset>
            </wp:positionV>
            <wp:extent cx="3238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58420</wp:posOffset>
            </wp:positionH>
            <wp:positionV relativeFrom="paragraph">
              <wp:posOffset>-25400</wp:posOffset>
            </wp:positionV>
            <wp:extent cx="3238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9019"/>
          </w:cols>
          <w:pgMar w:left="1440" w:top="896" w:right="1440" w:bottom="1440"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4"/>
          <w:szCs w:val="14"/>
          <w:b w:val="1"/>
          <w:bCs w:val="1"/>
          <w:color w:val="231F20"/>
        </w:rPr>
        <w:t>Index to Notes to Condensed Consolidated Financial Statements</w:t>
      </w:r>
    </w:p>
    <w:p>
      <w:pPr>
        <w:spacing w:after="0" w:line="180" w:lineRule="exact"/>
        <w:rPr>
          <w:sz w:val="20"/>
          <w:szCs w:val="20"/>
          <w:color w:val="auto"/>
        </w:rPr>
      </w:pPr>
    </w:p>
    <w:tbl>
      <w:tblPr>
        <w:tblLayout w:type="fixed"/>
        <w:tblInd w:w="120" w:type="dxa"/>
        <w:tblCellMar>
          <w:top w:w="0" w:type="dxa"/>
          <w:left w:w="0" w:type="dxa"/>
          <w:bottom w:w="0" w:type="dxa"/>
          <w:right w:w="0" w:type="dxa"/>
        </w:tblCellMar>
      </w:tblPr>
      <w:tr>
        <w:trPr>
          <w:trHeight w:val="137"/>
        </w:trPr>
        <w:tc>
          <w:tcPr>
            <w:tcW w:w="9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54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rPr>
              <w:t>Page</w:t>
            </w:r>
          </w:p>
        </w:tc>
        <w:tc>
          <w:tcPr>
            <w:tcW w:w="920" w:type="dxa"/>
            <w:vAlign w:val="bottom"/>
          </w:tcPr>
          <w:p>
            <w:pPr>
              <w:spacing w:after="0"/>
              <w:rPr>
                <w:sz w:val="11"/>
                <w:szCs w:val="11"/>
                <w:color w:val="auto"/>
              </w:rPr>
            </w:pPr>
          </w:p>
        </w:tc>
      </w:tr>
      <w:tr>
        <w:trPr>
          <w:trHeight w:val="302"/>
        </w:trPr>
        <w:tc>
          <w:tcPr>
            <w:tcW w:w="920" w:type="dxa"/>
            <w:vAlign w:val="bottom"/>
          </w:tcPr>
          <w:p>
            <w:pPr>
              <w:spacing w:after="0"/>
              <w:rPr>
                <w:sz w:val="24"/>
                <w:szCs w:val="24"/>
                <w:color w:val="auto"/>
              </w:rPr>
            </w:pPr>
          </w:p>
        </w:tc>
        <w:tc>
          <w:tcPr>
            <w:tcW w:w="3140" w:type="dxa"/>
            <w:vAlign w:val="bottom"/>
            <w:gridSpan w:val="11"/>
          </w:tcPr>
          <w:p>
            <w:pPr>
              <w:spacing w:after="0"/>
              <w:rPr>
                <w:sz w:val="20"/>
                <w:szCs w:val="20"/>
                <w:color w:val="auto"/>
              </w:rPr>
            </w:pPr>
            <w:r>
              <w:rPr>
                <w:rFonts w:ascii="Times New Roman" w:cs="Times New Roman" w:eastAsia="Times New Roman" w:hAnsi="Times New Roman"/>
                <w:sz w:val="14"/>
                <w:szCs w:val="14"/>
                <w:color w:val="0000FF"/>
              </w:rPr>
              <w:t>Note 1 - Significant Accounting Policies</w:t>
            </w:r>
          </w:p>
        </w:tc>
        <w:tc>
          <w:tcPr>
            <w:tcW w:w="3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920" w:type="dxa"/>
            <w:vAlign w:val="bottom"/>
          </w:tcPr>
          <w:p>
            <w:pPr>
              <w:spacing w:after="0"/>
              <w:rPr>
                <w:sz w:val="24"/>
                <w:szCs w:val="24"/>
                <w:color w:val="auto"/>
              </w:rPr>
            </w:pPr>
          </w:p>
        </w:tc>
      </w:tr>
      <w:tr>
        <w:trPr>
          <w:trHeight w:val="20"/>
        </w:trPr>
        <w:tc>
          <w:tcPr>
            <w:tcW w:w="920" w:type="dxa"/>
            <w:vAlign w:val="bottom"/>
            <w:tcBorders>
              <w:right w:val="single" w:sz="8" w:color="0000EE"/>
            </w:tcBorders>
          </w:tcPr>
          <w:p>
            <w:pPr>
              <w:spacing w:after="0" w:line="20" w:lineRule="exact"/>
              <w:rPr>
                <w:sz w:val="1"/>
                <w:szCs w:val="1"/>
                <w:color w:val="auto"/>
              </w:rPr>
            </w:pPr>
          </w:p>
        </w:tc>
        <w:tc>
          <w:tcPr>
            <w:tcW w:w="84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52"/>
        </w:trPr>
        <w:tc>
          <w:tcPr>
            <w:tcW w:w="920" w:type="dxa"/>
            <w:vAlign w:val="bottom"/>
          </w:tcPr>
          <w:p>
            <w:pPr>
              <w:spacing w:after="0"/>
              <w:rPr>
                <w:sz w:val="13"/>
                <w:szCs w:val="13"/>
                <w:color w:val="auto"/>
              </w:rPr>
            </w:pPr>
          </w:p>
        </w:tc>
        <w:tc>
          <w:tcPr>
            <w:tcW w:w="3140" w:type="dxa"/>
            <w:vAlign w:val="bottom"/>
            <w:gridSpan w:val="11"/>
          </w:tcPr>
          <w:p>
            <w:pPr>
              <w:spacing w:after="0" w:line="152" w:lineRule="exact"/>
              <w:rPr>
                <w:sz w:val="20"/>
                <w:szCs w:val="20"/>
                <w:color w:val="auto"/>
              </w:rPr>
            </w:pPr>
            <w:r>
              <w:rPr>
                <w:rFonts w:ascii="Times New Roman" w:cs="Times New Roman" w:eastAsia="Times New Roman" w:hAnsi="Times New Roman"/>
                <w:sz w:val="14"/>
                <w:szCs w:val="14"/>
                <w:color w:val="0000FF"/>
              </w:rPr>
              <w:t>Note 2 - Discontinued Operations</w:t>
            </w:r>
          </w:p>
        </w:tc>
        <w:tc>
          <w:tcPr>
            <w:tcW w:w="3800" w:type="dxa"/>
            <w:vAlign w:val="bottom"/>
            <w:gridSpan w:val="2"/>
          </w:tcPr>
          <w:p>
            <w:pPr>
              <w:jc w:val="right"/>
              <w:spacing w:after="0" w:line="152" w:lineRule="exact"/>
              <w:rPr>
                <w:sz w:val="20"/>
                <w:szCs w:val="20"/>
                <w:color w:val="auto"/>
              </w:rPr>
            </w:pPr>
            <w:r>
              <w:rPr>
                <w:rFonts w:ascii="Times New Roman" w:cs="Times New Roman" w:eastAsia="Times New Roman" w:hAnsi="Times New Roman"/>
                <w:sz w:val="14"/>
                <w:szCs w:val="14"/>
                <w:color w:val="auto"/>
              </w:rPr>
              <w:t>13</w:t>
            </w:r>
          </w:p>
        </w:tc>
        <w:tc>
          <w:tcPr>
            <w:tcW w:w="920" w:type="dxa"/>
            <w:vAlign w:val="bottom"/>
          </w:tcPr>
          <w:p>
            <w:pPr>
              <w:spacing w:after="0"/>
              <w:rPr>
                <w:sz w:val="13"/>
                <w:szCs w:val="13"/>
                <w:color w:val="auto"/>
              </w:rPr>
            </w:pPr>
          </w:p>
        </w:tc>
      </w:tr>
      <w:tr>
        <w:trPr>
          <w:trHeight w:val="20"/>
        </w:trPr>
        <w:tc>
          <w:tcPr>
            <w:tcW w:w="920" w:type="dxa"/>
            <w:vAlign w:val="bottom"/>
            <w:tcBorders>
              <w:right w:val="single" w:sz="8" w:color="0000EE"/>
            </w:tcBorders>
          </w:tcPr>
          <w:p>
            <w:pPr>
              <w:spacing w:after="0" w:line="20" w:lineRule="exact"/>
              <w:rPr>
                <w:sz w:val="1"/>
                <w:szCs w:val="1"/>
                <w:color w:val="auto"/>
              </w:rPr>
            </w:pPr>
          </w:p>
        </w:tc>
        <w:tc>
          <w:tcPr>
            <w:tcW w:w="84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52"/>
        </w:trPr>
        <w:tc>
          <w:tcPr>
            <w:tcW w:w="920" w:type="dxa"/>
            <w:vAlign w:val="bottom"/>
          </w:tcPr>
          <w:p>
            <w:pPr>
              <w:spacing w:after="0"/>
              <w:rPr>
                <w:sz w:val="13"/>
                <w:szCs w:val="13"/>
                <w:color w:val="auto"/>
              </w:rPr>
            </w:pPr>
          </w:p>
        </w:tc>
        <w:tc>
          <w:tcPr>
            <w:tcW w:w="3140" w:type="dxa"/>
            <w:vAlign w:val="bottom"/>
            <w:gridSpan w:val="11"/>
          </w:tcPr>
          <w:p>
            <w:pPr>
              <w:spacing w:after="0" w:line="152" w:lineRule="exact"/>
              <w:rPr>
                <w:sz w:val="20"/>
                <w:szCs w:val="20"/>
                <w:color w:val="auto"/>
              </w:rPr>
            </w:pPr>
            <w:r>
              <w:rPr>
                <w:rFonts w:ascii="Times New Roman" w:cs="Times New Roman" w:eastAsia="Times New Roman" w:hAnsi="Times New Roman"/>
                <w:sz w:val="14"/>
                <w:szCs w:val="14"/>
                <w:color w:val="0000FF"/>
              </w:rPr>
              <w:t>Note 3 - Revenue</w:t>
            </w:r>
          </w:p>
        </w:tc>
        <w:tc>
          <w:tcPr>
            <w:tcW w:w="3800" w:type="dxa"/>
            <w:vAlign w:val="bottom"/>
            <w:gridSpan w:val="2"/>
          </w:tcPr>
          <w:p>
            <w:pPr>
              <w:jc w:val="right"/>
              <w:spacing w:after="0" w:line="152" w:lineRule="exact"/>
              <w:rPr>
                <w:sz w:val="20"/>
                <w:szCs w:val="20"/>
                <w:color w:val="auto"/>
              </w:rPr>
            </w:pPr>
            <w:r>
              <w:rPr>
                <w:rFonts w:ascii="Times New Roman" w:cs="Times New Roman" w:eastAsia="Times New Roman" w:hAnsi="Times New Roman"/>
                <w:sz w:val="14"/>
                <w:szCs w:val="14"/>
                <w:color w:val="auto"/>
              </w:rPr>
              <w:t>14</w:t>
            </w:r>
          </w:p>
        </w:tc>
        <w:tc>
          <w:tcPr>
            <w:tcW w:w="920" w:type="dxa"/>
            <w:vAlign w:val="bottom"/>
          </w:tcPr>
          <w:p>
            <w:pPr>
              <w:spacing w:after="0"/>
              <w:rPr>
                <w:sz w:val="13"/>
                <w:szCs w:val="13"/>
                <w:color w:val="auto"/>
              </w:rPr>
            </w:pPr>
          </w:p>
        </w:tc>
      </w:tr>
      <w:tr>
        <w:trPr>
          <w:trHeight w:val="20"/>
        </w:trPr>
        <w:tc>
          <w:tcPr>
            <w:tcW w:w="920" w:type="dxa"/>
            <w:vAlign w:val="bottom"/>
            <w:tcBorders>
              <w:right w:val="single" w:sz="8" w:color="0000EE"/>
            </w:tcBorders>
          </w:tcPr>
          <w:p>
            <w:pPr>
              <w:spacing w:after="0" w:line="20" w:lineRule="exact"/>
              <w:rPr>
                <w:sz w:val="1"/>
                <w:szCs w:val="1"/>
                <w:color w:val="auto"/>
              </w:rPr>
            </w:pPr>
          </w:p>
        </w:tc>
        <w:tc>
          <w:tcPr>
            <w:tcW w:w="84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52"/>
        </w:trPr>
        <w:tc>
          <w:tcPr>
            <w:tcW w:w="920" w:type="dxa"/>
            <w:vAlign w:val="bottom"/>
          </w:tcPr>
          <w:p>
            <w:pPr>
              <w:spacing w:after="0"/>
              <w:rPr>
                <w:sz w:val="13"/>
                <w:szCs w:val="13"/>
                <w:color w:val="auto"/>
              </w:rPr>
            </w:pPr>
          </w:p>
        </w:tc>
        <w:tc>
          <w:tcPr>
            <w:tcW w:w="3140" w:type="dxa"/>
            <w:vAlign w:val="bottom"/>
            <w:gridSpan w:val="11"/>
          </w:tcPr>
          <w:p>
            <w:pPr>
              <w:spacing w:after="0" w:line="152" w:lineRule="exact"/>
              <w:rPr>
                <w:sz w:val="20"/>
                <w:szCs w:val="20"/>
                <w:color w:val="auto"/>
              </w:rPr>
            </w:pPr>
            <w:r>
              <w:rPr>
                <w:rFonts w:ascii="Times New Roman" w:cs="Times New Roman" w:eastAsia="Times New Roman" w:hAnsi="Times New Roman"/>
                <w:sz w:val="14"/>
                <w:szCs w:val="14"/>
                <w:color w:val="0000FF"/>
              </w:rPr>
              <w:t>Note 4 - Acquisitions</w:t>
            </w:r>
          </w:p>
        </w:tc>
        <w:tc>
          <w:tcPr>
            <w:tcW w:w="3800" w:type="dxa"/>
            <w:vAlign w:val="bottom"/>
            <w:gridSpan w:val="2"/>
          </w:tcPr>
          <w:p>
            <w:pPr>
              <w:jc w:val="right"/>
              <w:spacing w:after="0" w:line="152" w:lineRule="exact"/>
              <w:rPr>
                <w:sz w:val="20"/>
                <w:szCs w:val="20"/>
                <w:color w:val="auto"/>
              </w:rPr>
            </w:pPr>
            <w:r>
              <w:rPr>
                <w:rFonts w:ascii="Times New Roman" w:cs="Times New Roman" w:eastAsia="Times New Roman" w:hAnsi="Times New Roman"/>
                <w:sz w:val="14"/>
                <w:szCs w:val="14"/>
                <w:color w:val="auto"/>
              </w:rPr>
              <w:t>15</w:t>
            </w:r>
          </w:p>
        </w:tc>
        <w:tc>
          <w:tcPr>
            <w:tcW w:w="920" w:type="dxa"/>
            <w:vAlign w:val="bottom"/>
          </w:tcPr>
          <w:p>
            <w:pPr>
              <w:spacing w:after="0"/>
              <w:rPr>
                <w:sz w:val="13"/>
                <w:szCs w:val="13"/>
                <w:color w:val="auto"/>
              </w:rPr>
            </w:pPr>
          </w:p>
        </w:tc>
      </w:tr>
      <w:tr>
        <w:trPr>
          <w:trHeight w:val="20"/>
        </w:trPr>
        <w:tc>
          <w:tcPr>
            <w:tcW w:w="920" w:type="dxa"/>
            <w:vAlign w:val="bottom"/>
            <w:tcBorders>
              <w:right w:val="single" w:sz="8" w:color="0000EE"/>
            </w:tcBorders>
          </w:tcPr>
          <w:p>
            <w:pPr>
              <w:spacing w:after="0" w:line="20" w:lineRule="exact"/>
              <w:rPr>
                <w:sz w:val="1"/>
                <w:szCs w:val="1"/>
                <w:color w:val="auto"/>
              </w:rPr>
            </w:pPr>
          </w:p>
        </w:tc>
        <w:tc>
          <w:tcPr>
            <w:tcW w:w="84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tcBorders>
              <w:right w:val="single" w:sz="8" w:color="0000EE"/>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52"/>
        </w:trPr>
        <w:tc>
          <w:tcPr>
            <w:tcW w:w="920" w:type="dxa"/>
            <w:vAlign w:val="bottom"/>
          </w:tcPr>
          <w:p>
            <w:pPr>
              <w:spacing w:after="0"/>
              <w:rPr>
                <w:sz w:val="13"/>
                <w:szCs w:val="13"/>
                <w:color w:val="auto"/>
              </w:rPr>
            </w:pPr>
          </w:p>
        </w:tc>
        <w:tc>
          <w:tcPr>
            <w:tcW w:w="3140" w:type="dxa"/>
            <w:vAlign w:val="bottom"/>
            <w:gridSpan w:val="11"/>
          </w:tcPr>
          <w:p>
            <w:pPr>
              <w:spacing w:after="0" w:line="152" w:lineRule="exact"/>
              <w:rPr>
                <w:sz w:val="20"/>
                <w:szCs w:val="20"/>
                <w:color w:val="auto"/>
              </w:rPr>
            </w:pPr>
            <w:r>
              <w:rPr>
                <w:rFonts w:ascii="Times New Roman" w:cs="Times New Roman" w:eastAsia="Times New Roman" w:hAnsi="Times New Roman"/>
                <w:sz w:val="14"/>
                <w:szCs w:val="14"/>
                <w:color w:val="0000FF"/>
              </w:rPr>
              <w:t>Note 5 - Goodwill and Intangible Assets</w:t>
            </w:r>
          </w:p>
        </w:tc>
        <w:tc>
          <w:tcPr>
            <w:tcW w:w="3800" w:type="dxa"/>
            <w:vAlign w:val="bottom"/>
            <w:gridSpan w:val="2"/>
          </w:tcPr>
          <w:p>
            <w:pPr>
              <w:jc w:val="right"/>
              <w:spacing w:after="0" w:line="152" w:lineRule="exact"/>
              <w:rPr>
                <w:sz w:val="20"/>
                <w:szCs w:val="20"/>
                <w:color w:val="auto"/>
              </w:rPr>
            </w:pPr>
            <w:r>
              <w:rPr>
                <w:rFonts w:ascii="Times New Roman" w:cs="Times New Roman" w:eastAsia="Times New Roman" w:hAnsi="Times New Roman"/>
                <w:sz w:val="14"/>
                <w:szCs w:val="14"/>
                <w:color w:val="auto"/>
              </w:rPr>
              <w:t>17</w:t>
            </w:r>
          </w:p>
        </w:tc>
        <w:tc>
          <w:tcPr>
            <w:tcW w:w="920" w:type="dxa"/>
            <w:vAlign w:val="bottom"/>
          </w:tcPr>
          <w:p>
            <w:pPr>
              <w:spacing w:after="0"/>
              <w:rPr>
                <w:sz w:val="13"/>
                <w:szCs w:val="13"/>
                <w:color w:val="auto"/>
              </w:rPr>
            </w:pPr>
          </w:p>
        </w:tc>
      </w:tr>
      <w:tr>
        <w:trPr>
          <w:trHeight w:val="20"/>
        </w:trPr>
        <w:tc>
          <w:tcPr>
            <w:tcW w:w="92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52"/>
        </w:trPr>
        <w:tc>
          <w:tcPr>
            <w:tcW w:w="920" w:type="dxa"/>
            <w:vAlign w:val="bottom"/>
          </w:tcPr>
          <w:p>
            <w:pPr>
              <w:spacing w:after="0"/>
              <w:rPr>
                <w:sz w:val="13"/>
                <w:szCs w:val="13"/>
                <w:color w:val="auto"/>
              </w:rPr>
            </w:pPr>
          </w:p>
        </w:tc>
        <w:tc>
          <w:tcPr>
            <w:tcW w:w="380" w:type="dxa"/>
            <w:vAlign w:val="bottom"/>
          </w:tcPr>
          <w:p>
            <w:pPr>
              <w:spacing w:after="0" w:line="152" w:lineRule="exact"/>
              <w:rPr>
                <w:sz w:val="20"/>
                <w:szCs w:val="20"/>
                <w:color w:val="auto"/>
              </w:rPr>
            </w:pPr>
            <w:r>
              <w:rPr>
                <w:rFonts w:ascii="Times New Roman" w:cs="Times New Roman" w:eastAsia="Times New Roman" w:hAnsi="Times New Roman"/>
                <w:sz w:val="14"/>
                <w:szCs w:val="14"/>
                <w:color w:val="0000FF"/>
                <w:w w:val="95"/>
              </w:rPr>
              <w:t>Note 6</w:t>
            </w:r>
          </w:p>
        </w:tc>
        <w:tc>
          <w:tcPr>
            <w:tcW w:w="2760" w:type="dxa"/>
            <w:vAlign w:val="bottom"/>
            <w:gridSpan w:val="10"/>
          </w:tcPr>
          <w:p>
            <w:pPr>
              <w:ind w:left="20"/>
              <w:spacing w:after="0" w:line="152" w:lineRule="exact"/>
              <w:rPr>
                <w:sz w:val="20"/>
                <w:szCs w:val="20"/>
                <w:color w:val="auto"/>
              </w:rPr>
            </w:pPr>
            <w:r>
              <w:rPr>
                <w:rFonts w:ascii="Times New Roman" w:cs="Times New Roman" w:eastAsia="Times New Roman" w:hAnsi="Times New Roman"/>
                <w:sz w:val="14"/>
                <w:szCs w:val="14"/>
                <w:color w:val="0000FF"/>
              </w:rPr>
              <w:t>- Debt and Derivatives</w:t>
            </w:r>
          </w:p>
        </w:tc>
        <w:tc>
          <w:tcPr>
            <w:tcW w:w="3800" w:type="dxa"/>
            <w:vAlign w:val="bottom"/>
            <w:gridSpan w:val="2"/>
          </w:tcPr>
          <w:p>
            <w:pPr>
              <w:jc w:val="right"/>
              <w:spacing w:after="0" w:line="152" w:lineRule="exact"/>
              <w:rPr>
                <w:sz w:val="20"/>
                <w:szCs w:val="20"/>
                <w:color w:val="auto"/>
              </w:rPr>
            </w:pPr>
            <w:r>
              <w:rPr>
                <w:rFonts w:ascii="Times New Roman" w:cs="Times New Roman" w:eastAsia="Times New Roman" w:hAnsi="Times New Roman"/>
                <w:sz w:val="14"/>
                <w:szCs w:val="14"/>
                <w:color w:val="auto"/>
              </w:rPr>
              <w:t>18</w:t>
            </w:r>
          </w:p>
        </w:tc>
        <w:tc>
          <w:tcPr>
            <w:tcW w:w="920" w:type="dxa"/>
            <w:vAlign w:val="bottom"/>
          </w:tcPr>
          <w:p>
            <w:pPr>
              <w:spacing w:after="0"/>
              <w:rPr>
                <w:sz w:val="13"/>
                <w:szCs w:val="13"/>
                <w:color w:val="auto"/>
              </w:rPr>
            </w:pPr>
          </w:p>
        </w:tc>
      </w:tr>
      <w:tr>
        <w:trPr>
          <w:trHeight w:val="20"/>
        </w:trPr>
        <w:tc>
          <w:tcPr>
            <w:tcW w:w="92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52"/>
        </w:trPr>
        <w:tc>
          <w:tcPr>
            <w:tcW w:w="920" w:type="dxa"/>
            <w:vAlign w:val="bottom"/>
          </w:tcPr>
          <w:p>
            <w:pPr>
              <w:spacing w:after="0"/>
              <w:rPr>
                <w:sz w:val="13"/>
                <w:szCs w:val="13"/>
                <w:color w:val="auto"/>
              </w:rPr>
            </w:pPr>
          </w:p>
        </w:tc>
        <w:tc>
          <w:tcPr>
            <w:tcW w:w="380" w:type="dxa"/>
            <w:vAlign w:val="bottom"/>
          </w:tcPr>
          <w:p>
            <w:pPr>
              <w:spacing w:after="0" w:line="152" w:lineRule="exact"/>
              <w:rPr>
                <w:sz w:val="20"/>
                <w:szCs w:val="20"/>
                <w:color w:val="auto"/>
              </w:rPr>
            </w:pPr>
            <w:r>
              <w:rPr>
                <w:rFonts w:ascii="Times New Roman" w:cs="Times New Roman" w:eastAsia="Times New Roman" w:hAnsi="Times New Roman"/>
                <w:sz w:val="14"/>
                <w:szCs w:val="14"/>
                <w:color w:val="0000FF"/>
                <w:w w:val="95"/>
              </w:rPr>
              <w:t>Note 7</w:t>
            </w:r>
          </w:p>
        </w:tc>
        <w:tc>
          <w:tcPr>
            <w:tcW w:w="2760" w:type="dxa"/>
            <w:vAlign w:val="bottom"/>
            <w:gridSpan w:val="10"/>
          </w:tcPr>
          <w:p>
            <w:pPr>
              <w:ind w:left="20"/>
              <w:spacing w:after="0" w:line="152" w:lineRule="exact"/>
              <w:rPr>
                <w:sz w:val="20"/>
                <w:szCs w:val="20"/>
                <w:color w:val="auto"/>
              </w:rPr>
            </w:pPr>
            <w:r>
              <w:rPr>
                <w:rFonts w:ascii="Times New Roman" w:cs="Times New Roman" w:eastAsia="Times New Roman" w:hAnsi="Times New Roman"/>
                <w:sz w:val="14"/>
                <w:szCs w:val="14"/>
                <w:color w:val="0000FF"/>
              </w:rPr>
              <w:t>- TEUs</w:t>
            </w:r>
          </w:p>
        </w:tc>
        <w:tc>
          <w:tcPr>
            <w:tcW w:w="3800" w:type="dxa"/>
            <w:vAlign w:val="bottom"/>
            <w:gridSpan w:val="2"/>
          </w:tcPr>
          <w:p>
            <w:pPr>
              <w:jc w:val="right"/>
              <w:spacing w:after="0" w:line="152" w:lineRule="exact"/>
              <w:rPr>
                <w:sz w:val="20"/>
                <w:szCs w:val="20"/>
                <w:color w:val="auto"/>
              </w:rPr>
            </w:pPr>
            <w:r>
              <w:rPr>
                <w:rFonts w:ascii="Times New Roman" w:cs="Times New Roman" w:eastAsia="Times New Roman" w:hAnsi="Times New Roman"/>
                <w:sz w:val="14"/>
                <w:szCs w:val="14"/>
                <w:color w:val="auto"/>
              </w:rPr>
              <w:t>20</w:t>
            </w:r>
          </w:p>
        </w:tc>
        <w:tc>
          <w:tcPr>
            <w:tcW w:w="920" w:type="dxa"/>
            <w:vAlign w:val="bottom"/>
          </w:tcPr>
          <w:p>
            <w:pPr>
              <w:spacing w:after="0"/>
              <w:rPr>
                <w:sz w:val="13"/>
                <w:szCs w:val="13"/>
                <w:color w:val="auto"/>
              </w:rPr>
            </w:pPr>
          </w:p>
        </w:tc>
      </w:tr>
      <w:tr>
        <w:trPr>
          <w:trHeight w:val="20"/>
        </w:trPr>
        <w:tc>
          <w:tcPr>
            <w:tcW w:w="92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52"/>
        </w:trPr>
        <w:tc>
          <w:tcPr>
            <w:tcW w:w="920" w:type="dxa"/>
            <w:vAlign w:val="bottom"/>
          </w:tcPr>
          <w:p>
            <w:pPr>
              <w:spacing w:after="0"/>
              <w:rPr>
                <w:sz w:val="13"/>
                <w:szCs w:val="13"/>
                <w:color w:val="auto"/>
              </w:rPr>
            </w:pPr>
          </w:p>
        </w:tc>
        <w:tc>
          <w:tcPr>
            <w:tcW w:w="380" w:type="dxa"/>
            <w:vAlign w:val="bottom"/>
          </w:tcPr>
          <w:p>
            <w:pPr>
              <w:spacing w:after="0" w:line="152" w:lineRule="exact"/>
              <w:rPr>
                <w:sz w:val="20"/>
                <w:szCs w:val="20"/>
                <w:color w:val="auto"/>
              </w:rPr>
            </w:pPr>
            <w:r>
              <w:rPr>
                <w:rFonts w:ascii="Times New Roman" w:cs="Times New Roman" w:eastAsia="Times New Roman" w:hAnsi="Times New Roman"/>
                <w:sz w:val="14"/>
                <w:szCs w:val="14"/>
                <w:color w:val="0000FF"/>
                <w:w w:val="95"/>
              </w:rPr>
              <w:t>Note 8</w:t>
            </w:r>
          </w:p>
        </w:tc>
        <w:tc>
          <w:tcPr>
            <w:tcW w:w="2760" w:type="dxa"/>
            <w:vAlign w:val="bottom"/>
            <w:gridSpan w:val="10"/>
          </w:tcPr>
          <w:p>
            <w:pPr>
              <w:ind w:left="20"/>
              <w:spacing w:after="0" w:line="152" w:lineRule="exact"/>
              <w:rPr>
                <w:sz w:val="20"/>
                <w:szCs w:val="20"/>
                <w:color w:val="auto"/>
              </w:rPr>
            </w:pPr>
            <w:r>
              <w:rPr>
                <w:rFonts w:ascii="Times New Roman" w:cs="Times New Roman" w:eastAsia="Times New Roman" w:hAnsi="Times New Roman"/>
                <w:sz w:val="14"/>
                <w:szCs w:val="14"/>
                <w:color w:val="0000FF"/>
              </w:rPr>
              <w:t>- Income Taxes</w:t>
            </w:r>
          </w:p>
        </w:tc>
        <w:tc>
          <w:tcPr>
            <w:tcW w:w="3800" w:type="dxa"/>
            <w:vAlign w:val="bottom"/>
            <w:gridSpan w:val="2"/>
          </w:tcPr>
          <w:p>
            <w:pPr>
              <w:jc w:val="right"/>
              <w:spacing w:after="0" w:line="152" w:lineRule="exact"/>
              <w:rPr>
                <w:sz w:val="20"/>
                <w:szCs w:val="20"/>
                <w:color w:val="auto"/>
              </w:rPr>
            </w:pPr>
            <w:r>
              <w:rPr>
                <w:rFonts w:ascii="Times New Roman" w:cs="Times New Roman" w:eastAsia="Times New Roman" w:hAnsi="Times New Roman"/>
                <w:sz w:val="14"/>
                <w:szCs w:val="14"/>
                <w:color w:val="auto"/>
              </w:rPr>
              <w:t>21</w:t>
            </w:r>
          </w:p>
        </w:tc>
        <w:tc>
          <w:tcPr>
            <w:tcW w:w="920" w:type="dxa"/>
            <w:vAlign w:val="bottom"/>
          </w:tcPr>
          <w:p>
            <w:pPr>
              <w:spacing w:after="0"/>
              <w:rPr>
                <w:sz w:val="13"/>
                <w:szCs w:val="13"/>
                <w:color w:val="auto"/>
              </w:rPr>
            </w:pPr>
          </w:p>
        </w:tc>
      </w:tr>
      <w:tr>
        <w:trPr>
          <w:trHeight w:val="20"/>
        </w:trPr>
        <w:tc>
          <w:tcPr>
            <w:tcW w:w="92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920" w:type="dxa"/>
            <w:vAlign w:val="bottom"/>
            <w:gridSpan w:val="4"/>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52"/>
        </w:trPr>
        <w:tc>
          <w:tcPr>
            <w:tcW w:w="920" w:type="dxa"/>
            <w:vAlign w:val="bottom"/>
          </w:tcPr>
          <w:p>
            <w:pPr>
              <w:spacing w:after="0"/>
              <w:rPr>
                <w:sz w:val="13"/>
                <w:szCs w:val="13"/>
                <w:color w:val="auto"/>
              </w:rPr>
            </w:pPr>
          </w:p>
        </w:tc>
        <w:tc>
          <w:tcPr>
            <w:tcW w:w="380" w:type="dxa"/>
            <w:vAlign w:val="bottom"/>
          </w:tcPr>
          <w:p>
            <w:pPr>
              <w:spacing w:after="0" w:line="152" w:lineRule="exact"/>
              <w:rPr>
                <w:sz w:val="20"/>
                <w:szCs w:val="20"/>
                <w:color w:val="auto"/>
              </w:rPr>
            </w:pPr>
            <w:r>
              <w:rPr>
                <w:rFonts w:ascii="Times New Roman" w:cs="Times New Roman" w:eastAsia="Times New Roman" w:hAnsi="Times New Roman"/>
                <w:sz w:val="14"/>
                <w:szCs w:val="14"/>
                <w:color w:val="0000FF"/>
                <w:w w:val="95"/>
              </w:rPr>
              <w:t>Note 9</w:t>
            </w:r>
          </w:p>
        </w:tc>
        <w:tc>
          <w:tcPr>
            <w:tcW w:w="2760" w:type="dxa"/>
            <w:vAlign w:val="bottom"/>
            <w:gridSpan w:val="10"/>
          </w:tcPr>
          <w:p>
            <w:pPr>
              <w:ind w:left="20"/>
              <w:spacing w:after="0" w:line="152" w:lineRule="exact"/>
              <w:rPr>
                <w:sz w:val="20"/>
                <w:szCs w:val="20"/>
                <w:color w:val="auto"/>
              </w:rPr>
            </w:pPr>
            <w:r>
              <w:rPr>
                <w:rFonts w:ascii="Times New Roman" w:cs="Times New Roman" w:eastAsia="Times New Roman" w:hAnsi="Times New Roman"/>
                <w:sz w:val="14"/>
                <w:szCs w:val="14"/>
                <w:color w:val="0000FF"/>
              </w:rPr>
              <w:t>- Detail of Certain Balance Sheet Accounts</w:t>
            </w:r>
          </w:p>
        </w:tc>
        <w:tc>
          <w:tcPr>
            <w:tcW w:w="3800" w:type="dxa"/>
            <w:vAlign w:val="bottom"/>
            <w:gridSpan w:val="2"/>
          </w:tcPr>
          <w:p>
            <w:pPr>
              <w:jc w:val="right"/>
              <w:spacing w:after="0" w:line="152" w:lineRule="exact"/>
              <w:rPr>
                <w:sz w:val="20"/>
                <w:szCs w:val="20"/>
                <w:color w:val="auto"/>
              </w:rPr>
            </w:pPr>
            <w:r>
              <w:rPr>
                <w:rFonts w:ascii="Times New Roman" w:cs="Times New Roman" w:eastAsia="Times New Roman" w:hAnsi="Times New Roman"/>
                <w:sz w:val="14"/>
                <w:szCs w:val="14"/>
                <w:color w:val="auto"/>
              </w:rPr>
              <w:t>21</w:t>
            </w:r>
          </w:p>
        </w:tc>
        <w:tc>
          <w:tcPr>
            <w:tcW w:w="920" w:type="dxa"/>
            <w:vAlign w:val="bottom"/>
          </w:tcPr>
          <w:p>
            <w:pPr>
              <w:spacing w:after="0"/>
              <w:rPr>
                <w:sz w:val="13"/>
                <w:szCs w:val="13"/>
                <w:color w:val="auto"/>
              </w:rPr>
            </w:pPr>
          </w:p>
        </w:tc>
      </w:tr>
      <w:tr>
        <w:trPr>
          <w:trHeight w:val="20"/>
        </w:trPr>
        <w:tc>
          <w:tcPr>
            <w:tcW w:w="920" w:type="dxa"/>
            <w:vAlign w:val="bottom"/>
            <w:tcBorders>
              <w:right w:val="single" w:sz="8" w:color="0000EE"/>
            </w:tcBorders>
          </w:tcPr>
          <w:p>
            <w:pPr>
              <w:spacing w:after="0" w:line="20" w:lineRule="exact"/>
              <w:rPr>
                <w:sz w:val="1"/>
                <w:szCs w:val="1"/>
                <w:color w:val="auto"/>
              </w:rPr>
            </w:pPr>
          </w:p>
        </w:tc>
        <w:tc>
          <w:tcPr>
            <w:tcW w:w="1680" w:type="dxa"/>
            <w:vAlign w:val="bottom"/>
            <w:tcBorders>
              <w:right w:val="single" w:sz="8" w:color="0000FF"/>
            </w:tcBorders>
            <w:gridSpan w:val="6"/>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100" w:type="dxa"/>
            <w:vAlign w:val="bottom"/>
            <w:gridSpan w:val="3"/>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52"/>
        </w:trPr>
        <w:tc>
          <w:tcPr>
            <w:tcW w:w="920" w:type="dxa"/>
            <w:vAlign w:val="bottom"/>
          </w:tcPr>
          <w:p>
            <w:pPr>
              <w:spacing w:after="0"/>
              <w:rPr>
                <w:sz w:val="13"/>
                <w:szCs w:val="13"/>
                <w:color w:val="auto"/>
              </w:rPr>
            </w:pPr>
          </w:p>
        </w:tc>
        <w:tc>
          <w:tcPr>
            <w:tcW w:w="3140" w:type="dxa"/>
            <w:vAlign w:val="bottom"/>
            <w:gridSpan w:val="11"/>
          </w:tcPr>
          <w:p>
            <w:pPr>
              <w:spacing w:after="0" w:line="152" w:lineRule="exact"/>
              <w:rPr>
                <w:sz w:val="20"/>
                <w:szCs w:val="20"/>
                <w:color w:val="auto"/>
              </w:rPr>
            </w:pPr>
            <w:r>
              <w:rPr>
                <w:rFonts w:ascii="Times New Roman" w:cs="Times New Roman" w:eastAsia="Times New Roman" w:hAnsi="Times New Roman"/>
                <w:sz w:val="14"/>
                <w:szCs w:val="14"/>
                <w:color w:val="0000FF"/>
              </w:rPr>
              <w:t>Note 10 - Earnings Per Share</w:t>
            </w:r>
          </w:p>
        </w:tc>
        <w:tc>
          <w:tcPr>
            <w:tcW w:w="3800" w:type="dxa"/>
            <w:vAlign w:val="bottom"/>
            <w:gridSpan w:val="2"/>
          </w:tcPr>
          <w:p>
            <w:pPr>
              <w:jc w:val="right"/>
              <w:spacing w:after="0" w:line="152" w:lineRule="exact"/>
              <w:rPr>
                <w:sz w:val="20"/>
                <w:szCs w:val="20"/>
                <w:color w:val="auto"/>
              </w:rPr>
            </w:pPr>
            <w:r>
              <w:rPr>
                <w:rFonts w:ascii="Times New Roman" w:cs="Times New Roman" w:eastAsia="Times New Roman" w:hAnsi="Times New Roman"/>
                <w:sz w:val="14"/>
                <w:szCs w:val="14"/>
                <w:color w:val="auto"/>
              </w:rPr>
              <w:t>22</w:t>
            </w:r>
          </w:p>
        </w:tc>
        <w:tc>
          <w:tcPr>
            <w:tcW w:w="920" w:type="dxa"/>
            <w:vAlign w:val="bottom"/>
          </w:tcPr>
          <w:p>
            <w:pPr>
              <w:spacing w:after="0"/>
              <w:rPr>
                <w:sz w:val="13"/>
                <w:szCs w:val="13"/>
                <w:color w:val="auto"/>
              </w:rPr>
            </w:pPr>
          </w:p>
        </w:tc>
      </w:tr>
      <w:tr>
        <w:trPr>
          <w:trHeight w:val="20"/>
        </w:trPr>
        <w:tc>
          <w:tcPr>
            <w:tcW w:w="920" w:type="dxa"/>
            <w:vAlign w:val="bottom"/>
            <w:tcBorders>
              <w:right w:val="single" w:sz="8" w:color="0000EE"/>
            </w:tcBorders>
          </w:tcPr>
          <w:p>
            <w:pPr>
              <w:spacing w:after="0" w:line="20" w:lineRule="exact"/>
              <w:rPr>
                <w:sz w:val="1"/>
                <w:szCs w:val="1"/>
                <w:color w:val="auto"/>
              </w:rPr>
            </w:pPr>
          </w:p>
        </w:tc>
        <w:tc>
          <w:tcPr>
            <w:tcW w:w="1680" w:type="dxa"/>
            <w:vAlign w:val="bottom"/>
            <w:tcBorders>
              <w:right w:val="single" w:sz="8" w:color="0000EE"/>
            </w:tcBorders>
            <w:gridSpan w:val="6"/>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38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52"/>
        </w:trPr>
        <w:tc>
          <w:tcPr>
            <w:tcW w:w="920" w:type="dxa"/>
            <w:vAlign w:val="bottom"/>
          </w:tcPr>
          <w:p>
            <w:pPr>
              <w:spacing w:after="0"/>
              <w:rPr>
                <w:sz w:val="13"/>
                <w:szCs w:val="13"/>
                <w:color w:val="auto"/>
              </w:rPr>
            </w:pPr>
          </w:p>
        </w:tc>
        <w:tc>
          <w:tcPr>
            <w:tcW w:w="3140" w:type="dxa"/>
            <w:vAlign w:val="bottom"/>
            <w:gridSpan w:val="11"/>
          </w:tcPr>
          <w:p>
            <w:pPr>
              <w:spacing w:after="0" w:line="152" w:lineRule="exact"/>
              <w:rPr>
                <w:sz w:val="20"/>
                <w:szCs w:val="20"/>
                <w:color w:val="auto"/>
              </w:rPr>
            </w:pPr>
            <w:r>
              <w:rPr>
                <w:rFonts w:ascii="Times New Roman" w:cs="Times New Roman" w:eastAsia="Times New Roman" w:hAnsi="Times New Roman"/>
                <w:sz w:val="14"/>
                <w:szCs w:val="14"/>
                <w:color w:val="0000FF"/>
              </w:rPr>
              <w:t>Note 11 - Segment Information</w:t>
            </w:r>
          </w:p>
        </w:tc>
        <w:tc>
          <w:tcPr>
            <w:tcW w:w="3800" w:type="dxa"/>
            <w:vAlign w:val="bottom"/>
            <w:gridSpan w:val="2"/>
          </w:tcPr>
          <w:p>
            <w:pPr>
              <w:jc w:val="right"/>
              <w:spacing w:after="0" w:line="152" w:lineRule="exact"/>
              <w:rPr>
                <w:sz w:val="20"/>
                <w:szCs w:val="20"/>
                <w:color w:val="auto"/>
              </w:rPr>
            </w:pPr>
            <w:r>
              <w:rPr>
                <w:rFonts w:ascii="Times New Roman" w:cs="Times New Roman" w:eastAsia="Times New Roman" w:hAnsi="Times New Roman"/>
                <w:sz w:val="14"/>
                <w:szCs w:val="14"/>
                <w:color w:val="auto"/>
              </w:rPr>
              <w:t>23</w:t>
            </w:r>
          </w:p>
        </w:tc>
        <w:tc>
          <w:tcPr>
            <w:tcW w:w="920" w:type="dxa"/>
            <w:vAlign w:val="bottom"/>
          </w:tcPr>
          <w:p>
            <w:pPr>
              <w:spacing w:after="0"/>
              <w:rPr>
                <w:sz w:val="13"/>
                <w:szCs w:val="13"/>
                <w:color w:val="auto"/>
              </w:rPr>
            </w:pPr>
          </w:p>
        </w:tc>
      </w:tr>
      <w:tr>
        <w:trPr>
          <w:trHeight w:val="527"/>
        </w:trPr>
        <w:tc>
          <w:tcPr>
            <w:tcW w:w="920" w:type="dxa"/>
            <w:vAlign w:val="bottom"/>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60" w:type="dxa"/>
            <w:vAlign w:val="bottom"/>
          </w:tcPr>
          <w:p>
            <w:pPr>
              <w:jc w:val="right"/>
              <w:ind w:right="2788"/>
              <w:spacing w:after="0"/>
              <w:rPr>
                <w:sz w:val="20"/>
                <w:szCs w:val="20"/>
                <w:color w:val="auto"/>
              </w:rPr>
            </w:pPr>
            <w:r>
              <w:rPr>
                <w:rFonts w:ascii="Times New Roman" w:cs="Times New Roman" w:eastAsia="Times New Roman" w:hAnsi="Times New Roman"/>
                <w:sz w:val="14"/>
                <w:szCs w:val="14"/>
                <w:color w:val="auto"/>
              </w:rPr>
              <w:t>10</w:t>
            </w: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604"/>
        </w:trPr>
        <w:tc>
          <w:tcPr>
            <w:tcW w:w="9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2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5629910</wp:posOffset>
            </wp:positionH>
            <wp:positionV relativeFrom="paragraph">
              <wp:posOffset>-25400</wp:posOffset>
            </wp:positionV>
            <wp:extent cx="3238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58420</wp:posOffset>
            </wp:positionH>
            <wp:positionV relativeFrom="paragraph">
              <wp:posOffset>-25400</wp:posOffset>
            </wp:positionV>
            <wp:extent cx="3238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9019"/>
          </w:cols>
          <w:pgMar w:left="1440" w:top="1068" w:right="1440"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4"/>
          <w:szCs w:val="14"/>
          <w:b w:val="1"/>
          <w:bCs w:val="1"/>
          <w:color w:val="auto"/>
        </w:rPr>
        <w:t>BrightSpring Health Services,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231F20"/>
        </w:rPr>
        <w:t>Notes to Condensed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231F20"/>
        </w:rPr>
        <w:t>(Unaudited)</w:t>
      </w:r>
    </w:p>
    <w:p>
      <w:pPr>
        <w:spacing w:after="0" w:line="25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1. Significant Accounting Policies</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Description of Business</w:t>
      </w:r>
    </w:p>
    <w:p>
      <w:pPr>
        <w:spacing w:after="0" w:line="99" w:lineRule="exact"/>
        <w:rPr>
          <w:sz w:val="20"/>
          <w:szCs w:val="20"/>
          <w:color w:val="auto"/>
        </w:rPr>
      </w:pPr>
    </w:p>
    <w:p>
      <w:pPr>
        <w:ind w:left="640" w:right="779"/>
        <w:spacing w:after="0" w:line="268" w:lineRule="auto"/>
        <w:rPr>
          <w:sz w:val="20"/>
          <w:szCs w:val="20"/>
          <w:color w:val="auto"/>
        </w:rPr>
      </w:pPr>
      <w:r>
        <w:rPr>
          <w:rFonts w:ascii="Times New Roman" w:cs="Times New Roman" w:eastAsia="Times New Roman" w:hAnsi="Times New Roman"/>
          <w:sz w:val="14"/>
          <w:szCs w:val="14"/>
          <w:color w:val="auto"/>
        </w:rPr>
        <w:t>BrightSpring Health Services, Inc. and its subsidiaries (“BrightSpring”, the “Company”, “we,” “us,” or “our”) is a leading home and community-based healthcare services platform, focused on delivering complementary pharmacy and provider services to medically complex patients. Our platform delivers clinical services and pharmacy solutions across Medicare, Medicaid, and commercially-insured populations.</w:t>
      </w:r>
    </w:p>
    <w:p>
      <w:pPr>
        <w:spacing w:after="0" w:line="54" w:lineRule="exact"/>
        <w:rPr>
          <w:sz w:val="20"/>
          <w:szCs w:val="20"/>
          <w:color w:val="auto"/>
        </w:rPr>
      </w:pPr>
    </w:p>
    <w:p>
      <w:pPr>
        <w:ind w:left="640" w:right="779"/>
        <w:spacing w:after="0" w:line="263" w:lineRule="auto"/>
        <w:rPr>
          <w:sz w:val="20"/>
          <w:szCs w:val="20"/>
          <w:color w:val="auto"/>
        </w:rPr>
      </w:pPr>
      <w:r>
        <w:rPr>
          <w:rFonts w:ascii="Times New Roman" w:cs="Times New Roman" w:eastAsia="Times New Roman" w:hAnsi="Times New Roman"/>
          <w:sz w:val="14"/>
          <w:szCs w:val="14"/>
          <w:color w:val="auto"/>
        </w:rPr>
        <w:t>On December 7, 2017, affiliates of Kohlberg Kravis Roberts &amp; Co. L.P. (“KKR Stockholder”) and Walgreens Boots Alliance, Inc. (“WBA”) purchased PharMerica Corporation (“PharMerica”) and on March 5, 2019, expanded with the acquisition of BrightSpring Health Holdings Corp. The surviving entity was renamed BrightSpring Health Services, Inc. WBA sold their remaining ownership interests in the Company in 2025 through open market transactions and is no longer considered a related party of the Company. As a result of the registered secondary public offerings in 2025, the Company no longer qualifies as a “controlled company” under the Nasdaq Stock Market LLC listing standards.</w:t>
      </w:r>
    </w:p>
    <w:p>
      <w:pPr>
        <w:spacing w:after="0" w:line="58" w:lineRule="exact"/>
        <w:rPr>
          <w:sz w:val="20"/>
          <w:szCs w:val="20"/>
          <w:color w:val="auto"/>
        </w:rPr>
      </w:pPr>
    </w:p>
    <w:p>
      <w:pPr>
        <w:ind w:left="640" w:right="779"/>
        <w:spacing w:after="0" w:line="274" w:lineRule="auto"/>
        <w:rPr>
          <w:sz w:val="20"/>
          <w:szCs w:val="20"/>
          <w:color w:val="auto"/>
        </w:rPr>
      </w:pPr>
      <w:r>
        <w:rPr>
          <w:rFonts w:ascii="Times New Roman" w:cs="Times New Roman" w:eastAsia="Times New Roman" w:hAnsi="Times New Roman"/>
          <w:sz w:val="14"/>
          <w:szCs w:val="14"/>
          <w:color w:val="auto"/>
        </w:rPr>
        <w:t>On January 17, 2025, the Company entered into a purchase agreement to divest its community living services, home and community based waiver programs, and intermediate care facilities (the “Community Living business”). The transaction closed on March 30, 2026.</w:t>
      </w:r>
    </w:p>
    <w:p>
      <w:pPr>
        <w:spacing w:after="0" w:line="50" w:lineRule="exact"/>
        <w:rPr>
          <w:sz w:val="20"/>
          <w:szCs w:val="20"/>
          <w:color w:val="auto"/>
        </w:rPr>
      </w:pPr>
    </w:p>
    <w:p>
      <w:pPr>
        <w:ind w:left="640" w:right="719"/>
        <w:spacing w:after="0" w:line="260" w:lineRule="auto"/>
        <w:rPr>
          <w:sz w:val="20"/>
          <w:szCs w:val="20"/>
          <w:color w:val="auto"/>
        </w:rPr>
      </w:pPr>
      <w:r>
        <w:rPr>
          <w:rFonts w:ascii="Times New Roman" w:cs="Times New Roman" w:eastAsia="Times New Roman" w:hAnsi="Times New Roman"/>
          <w:sz w:val="14"/>
          <w:szCs w:val="14"/>
          <w:color w:val="auto"/>
        </w:rPr>
        <w:t>In March and June 2026, KKR Stockholder and certain management selling stockholders completed additional registered secondary public offerings of 20,000,000 and 14,999,771 shares of the Company’s common stock, respectively (collectively, the “2026 Secondary Offerings”). The Company did not sell any shares of common stock that were offered in the 2026 Secondary Offerings. The Company did not receive any proceeds from the 2026 Secondary Offerings, other than proceeds received in connection with the cash exercise of stock options by the management selling stockholders in connection with the 2026 Secondary Offerings. In connection with the March and June 2026 secondary public offerings, the Company concurrently purchased from the underwriter 1,464,807 and 1,026,465 shares of common stock, respectively. The price per share paid by the Company with respect to the concurrent share repurchases was equal to the price at which the underwriter purchased the shares from the selling stockholders in the 2026 Secondary Offerings. The par value of the shares repurchased and the amount paid to repurchase the shares in excess of the par value were recorded as common stock and retained earnings, respectively, in the unaudited condensed consolidated balance sheets.</w:t>
      </w:r>
    </w:p>
    <w:p>
      <w:pPr>
        <w:spacing w:after="0" w:line="14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Principles of Consolidation</w:t>
      </w:r>
    </w:p>
    <w:p>
      <w:pPr>
        <w:spacing w:after="0" w:line="99" w:lineRule="exact"/>
        <w:rPr>
          <w:sz w:val="20"/>
          <w:szCs w:val="20"/>
          <w:color w:val="auto"/>
        </w:rPr>
      </w:pPr>
    </w:p>
    <w:p>
      <w:pPr>
        <w:ind w:left="640" w:right="659"/>
        <w:spacing w:after="0" w:line="274" w:lineRule="auto"/>
        <w:rPr>
          <w:sz w:val="20"/>
          <w:szCs w:val="20"/>
          <w:color w:val="auto"/>
        </w:rPr>
      </w:pPr>
      <w:r>
        <w:rPr>
          <w:rFonts w:ascii="Times New Roman" w:cs="Times New Roman" w:eastAsia="Times New Roman" w:hAnsi="Times New Roman"/>
          <w:sz w:val="14"/>
          <w:szCs w:val="14"/>
          <w:color w:val="auto"/>
        </w:rPr>
        <w:t>The accompanying unaudited condensed consolidated financial statements include the accounts of BrightSpring Health Services, Inc. and its subsidiaries. The Company consolidates its majority-owned and controlled entities, including variable interest entities (“VIEs”) for which the Company is the primary beneficiary. All intercompany balances and transactions have been eliminated.</w:t>
      </w:r>
    </w:p>
    <w:p>
      <w:pPr>
        <w:spacing w:after="0" w:line="50" w:lineRule="exact"/>
        <w:rPr>
          <w:sz w:val="20"/>
          <w:szCs w:val="20"/>
          <w:color w:val="auto"/>
        </w:rPr>
      </w:pPr>
    </w:p>
    <w:p>
      <w:pPr>
        <w:ind w:left="640" w:right="699"/>
        <w:spacing w:after="0" w:line="268" w:lineRule="auto"/>
        <w:rPr>
          <w:sz w:val="20"/>
          <w:szCs w:val="20"/>
          <w:color w:val="auto"/>
        </w:rPr>
      </w:pPr>
      <w:r>
        <w:rPr>
          <w:rFonts w:ascii="Times New Roman" w:cs="Times New Roman" w:eastAsia="Times New Roman" w:hAnsi="Times New Roman"/>
          <w:sz w:val="14"/>
          <w:szCs w:val="14"/>
          <w:color w:val="auto"/>
        </w:rPr>
        <w:t>We record a noncontrolling interest for the allocable portion of income or loss and comprehensive income or loss to which the noncontrolling interest holders are entitled based upon their ownership share of the affiliate. The Company determined noncontrolling interests for certain of these VIEs to be redeemable noncontrolling interests, which are presented in the unaudited condensed consolidated balance sheets as redeemable noncontrolling interests.</w:t>
      </w:r>
    </w:p>
    <w:p>
      <w:pPr>
        <w:spacing w:after="0" w:line="13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Basis of Presentation</w:t>
      </w:r>
    </w:p>
    <w:p>
      <w:pPr>
        <w:spacing w:after="0" w:line="99" w:lineRule="exact"/>
        <w:rPr>
          <w:sz w:val="20"/>
          <w:szCs w:val="20"/>
          <w:color w:val="auto"/>
        </w:rPr>
      </w:pPr>
    </w:p>
    <w:p>
      <w:pPr>
        <w:ind w:left="640" w:right="859"/>
        <w:spacing w:after="0" w:line="268" w:lineRule="auto"/>
        <w:rPr>
          <w:sz w:val="20"/>
          <w:szCs w:val="20"/>
          <w:color w:val="auto"/>
        </w:rPr>
      </w:pPr>
      <w:r>
        <w:rPr>
          <w:rFonts w:ascii="Times New Roman" w:cs="Times New Roman" w:eastAsia="Times New Roman" w:hAnsi="Times New Roman"/>
          <w:sz w:val="14"/>
          <w:szCs w:val="14"/>
          <w:color w:val="auto"/>
        </w:rPr>
        <w:t>The accompanying unaudited condensed consolidated financial statements contain all adjustments (consisting solely of normal recurring adjustments) necessary to present fairly our financial position, our results of operations, and our cash flows in accordance with U.S. generally accepted accounting principles (“U.S. GAAP”) for interim financial reporting. Our results of operations for the interim periods presented are not necessarily indicative of the results of our operations for the entire year.</w:t>
      </w:r>
    </w:p>
    <w:p>
      <w:pPr>
        <w:spacing w:after="0" w:line="54" w:lineRule="exact"/>
        <w:rPr>
          <w:sz w:val="20"/>
          <w:szCs w:val="20"/>
          <w:color w:val="auto"/>
        </w:rPr>
      </w:pPr>
    </w:p>
    <w:p>
      <w:pPr>
        <w:ind w:left="640" w:right="759"/>
        <w:spacing w:after="0" w:line="263" w:lineRule="auto"/>
        <w:rPr>
          <w:sz w:val="20"/>
          <w:szCs w:val="20"/>
          <w:color w:val="auto"/>
        </w:rPr>
      </w:pPr>
      <w:r>
        <w:rPr>
          <w:rFonts w:ascii="Times New Roman" w:cs="Times New Roman" w:eastAsia="Times New Roman" w:hAnsi="Times New Roman"/>
          <w:sz w:val="14"/>
          <w:szCs w:val="14"/>
          <w:color w:val="auto"/>
        </w:rPr>
        <w:t>As discussed in Note 2, the Community Living business met the criteria to be reported as discontinued operations and held for sale during the first fiscal quarter of 2025. Therefore, the Company has reported the historical results of the Community Living business, including the results of operations and cash flows as discontinued operations for all periods presented herein, and related assets and liabilities, as held for sale as of December 31, 2025. Unless otherwise noted, all activities and amounts reported in the accompanying notes to the unaudited condensed consolidated financial statements relate to the continuing operations of the Company and exclude activities and amounts related to the Community Living business.</w:t>
      </w:r>
    </w:p>
    <w:p>
      <w:pPr>
        <w:spacing w:after="0" w:line="58" w:lineRule="exact"/>
        <w:rPr>
          <w:sz w:val="20"/>
          <w:szCs w:val="20"/>
          <w:color w:val="auto"/>
        </w:rPr>
      </w:pPr>
    </w:p>
    <w:p>
      <w:pPr>
        <w:ind w:left="640" w:right="719"/>
        <w:spacing w:after="0" w:line="292" w:lineRule="auto"/>
        <w:rPr>
          <w:sz w:val="20"/>
          <w:szCs w:val="20"/>
          <w:color w:val="auto"/>
        </w:rPr>
      </w:pPr>
      <w:r>
        <w:rPr>
          <w:rFonts w:ascii="Times New Roman" w:cs="Times New Roman" w:eastAsia="Times New Roman" w:hAnsi="Times New Roman"/>
          <w:sz w:val="14"/>
          <w:szCs w:val="14"/>
          <w:color w:val="auto"/>
        </w:rPr>
        <w:t>This report should be read in conjunction with our consolidated financial statements and related notes thereto included in our Annual Report on Form 10-K for the year ended December 31, 2025, which includes information and disclosures not included herein. Certain</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96" w:right="1440" w:bottom="1440" w:gutter="0" w:footer="0" w:header="0"/>
        </w:sectPr>
      </w:pPr>
    </w:p>
    <w:bookmarkStart w:id="13" w:name="page14"/>
    <w:bookmarkEnd w:id="13"/>
    <w:p>
      <w:pPr>
        <w:jc w:val="both"/>
        <w:ind w:left="640" w:right="779"/>
        <w:spacing w:after="0" w:line="274" w:lineRule="auto"/>
        <w:rPr>
          <w:sz w:val="20"/>
          <w:szCs w:val="20"/>
          <w:color w:val="auto"/>
        </w:rPr>
      </w:pPr>
      <w:r>
        <w:rPr>
          <w:rFonts w:ascii="Times New Roman" w:cs="Times New Roman" w:eastAsia="Times New Roman" w:hAnsi="Times New Roman"/>
          <w:sz w:val="14"/>
          <w:szCs w:val="14"/>
          <w:color w:val="auto"/>
        </w:rPr>
        <w:t>information and footnote disclosures normally included in annual financial statements prepared in accordance with U.S. GAAP have been condensed or omitted from the interim financial information presented, as allowed by the rules and regulations of the Securities and Exchange Commission.</w:t>
      </w:r>
    </w:p>
    <w:p>
      <w:pPr>
        <w:spacing w:after="0" w:line="13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Use of Estimates</w:t>
      </w:r>
    </w:p>
    <w:p>
      <w:pPr>
        <w:spacing w:after="0" w:line="99" w:lineRule="exact"/>
        <w:rPr>
          <w:sz w:val="20"/>
          <w:szCs w:val="20"/>
          <w:color w:val="auto"/>
        </w:rPr>
      </w:pPr>
    </w:p>
    <w:p>
      <w:pPr>
        <w:ind w:left="640" w:right="679"/>
        <w:spacing w:after="0" w:line="263" w:lineRule="auto"/>
        <w:rPr>
          <w:sz w:val="20"/>
          <w:szCs w:val="20"/>
          <w:color w:val="auto"/>
        </w:rPr>
      </w:pPr>
      <w:r>
        <w:rPr>
          <w:rFonts w:ascii="Times New Roman" w:cs="Times New Roman" w:eastAsia="Times New Roman" w:hAnsi="Times New Roman"/>
          <w:sz w:val="14"/>
          <w:szCs w:val="14"/>
          <w:color w:val="auto"/>
        </w:rPr>
        <w:t>The preparation of the unaudited condensed consolidated financial statements in conformity with U.S. GAAP requires us to make estimates and assumptions that affect the reported amounts and related disclosures. We rely on historical experience and on various other assumptions that we believe to be reasonable under the circumstances to make judgments about the carrying values of assets and liabilities that are not readily apparent from other sources. Significant estimates are involved in the valuation of accounts receivable, inventory, intangible assets, derivatives, contingent consideration, taxes, insurance reserves, share-based compensation, and goodwill. Actual amounts may differ from these estimates.</w:t>
      </w:r>
    </w:p>
    <w:p>
      <w:pPr>
        <w:spacing w:after="0" w:line="14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Inventory Held on Consignment</w:t>
      </w:r>
    </w:p>
    <w:p>
      <w:pPr>
        <w:spacing w:after="0" w:line="99" w:lineRule="exact"/>
        <w:rPr>
          <w:sz w:val="20"/>
          <w:szCs w:val="20"/>
          <w:color w:val="auto"/>
        </w:rPr>
      </w:pPr>
    </w:p>
    <w:p>
      <w:pPr>
        <w:ind w:left="640" w:right="719"/>
        <w:spacing w:after="0" w:line="265" w:lineRule="auto"/>
        <w:rPr>
          <w:sz w:val="20"/>
          <w:szCs w:val="20"/>
          <w:color w:val="auto"/>
        </w:rPr>
      </w:pPr>
      <w:r>
        <w:rPr>
          <w:rFonts w:ascii="Times New Roman" w:cs="Times New Roman" w:eastAsia="Times New Roman" w:hAnsi="Times New Roman"/>
          <w:sz w:val="14"/>
          <w:szCs w:val="14"/>
          <w:color w:val="auto"/>
        </w:rPr>
        <w:t>During 2026, the Company entered into a consignment arrangement with a supplier under which the supplier retains title and ownership of the consigned inventory until the Company purchases or dispenses the inventory and the supplier may require the return or redirection of the inventory prior to that time. The Company has no obligation to pay for the consigned inventory upon receipt. At September 30, 2026, the Company held approximately $111.6 million of consigned inventory, which is not recognized in the Company’s condensed consolidated balance sheet. The Company did not hold consignment inventory as of December 31, 2025.</w:t>
      </w:r>
    </w:p>
    <w:p>
      <w:pPr>
        <w:spacing w:after="0" w:line="14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Commitments and Contingencies</w:t>
      </w:r>
    </w:p>
    <w:p>
      <w:pPr>
        <w:spacing w:after="0" w:line="99" w:lineRule="exact"/>
        <w:rPr>
          <w:sz w:val="20"/>
          <w:szCs w:val="20"/>
          <w:color w:val="auto"/>
        </w:rPr>
      </w:pPr>
    </w:p>
    <w:p>
      <w:pPr>
        <w:ind w:left="640" w:right="739"/>
        <w:spacing w:after="0" w:line="261" w:lineRule="auto"/>
        <w:rPr>
          <w:sz w:val="20"/>
          <w:szCs w:val="20"/>
          <w:color w:val="auto"/>
        </w:rPr>
      </w:pPr>
      <w:r>
        <w:rPr>
          <w:rFonts w:ascii="Times New Roman" w:cs="Times New Roman" w:eastAsia="Times New Roman" w:hAnsi="Times New Roman"/>
          <w:sz w:val="14"/>
          <w:szCs w:val="14"/>
          <w:color w:val="auto"/>
        </w:rPr>
        <w:t>The Company is party to various legal and/or administrative proceedings arising out of the operation of our programs and arising in the ordinary course of business. We record accruals for such contingencies to the extent that we conclude it is probable that a liability has been incurred and the amount of the loss can be reasonably estimated. We do not believe the ultimate liability, if any, for outstanding proceedings or claims, individually or in the aggregate, in excess of amounts already provided, will have a material adverse effect on our unaudited condensed consolidated financial condition, results of operations, or cash flows. It is reasonably possible that an adverse determination might have an impact on a particular period. While we believe our provision for legal contingencies is adequate, the outcome of legal proceedings is difficult to predict, and we may settle legal claims or be subject to judgments for amounts that exceed our estimates.</w:t>
      </w:r>
    </w:p>
    <w:p>
      <w:pPr>
        <w:spacing w:after="0" w:line="14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Related Party Transactions</w:t>
      </w:r>
    </w:p>
    <w:p>
      <w:pPr>
        <w:spacing w:after="0" w:line="185" w:lineRule="exact"/>
        <w:rPr>
          <w:sz w:val="20"/>
          <w:szCs w:val="20"/>
          <w:color w:val="auto"/>
        </w:rPr>
      </w:pPr>
    </w:p>
    <w:p>
      <w:pPr>
        <w:ind w:left="640" w:right="859"/>
        <w:spacing w:after="0" w:line="292" w:lineRule="auto"/>
        <w:rPr>
          <w:sz w:val="20"/>
          <w:szCs w:val="20"/>
          <w:color w:val="auto"/>
        </w:rPr>
      </w:pPr>
      <w:r>
        <w:rPr>
          <w:rFonts w:ascii="Times New Roman" w:cs="Times New Roman" w:eastAsia="Times New Roman" w:hAnsi="Times New Roman"/>
          <w:sz w:val="14"/>
          <w:szCs w:val="14"/>
          <w:color w:val="auto"/>
        </w:rPr>
        <w:t>There were no material related party transactions that meet the requirements for disclosure in the periods presented other than those disclosed elsewhere in these notes to the unaudited condensed consolidated financial statements.</w:t>
      </w:r>
    </w:p>
    <w:p>
      <w:pPr>
        <w:spacing w:after="0" w:line="1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Recently Adopted Accounting Standards</w:t>
      </w:r>
    </w:p>
    <w:p>
      <w:pPr>
        <w:spacing w:after="0" w:line="9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There were no new accounting standards adopted during the nine months ended September 30, 2026.</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Recently Issued Accounting Standards</w:t>
      </w:r>
    </w:p>
    <w:p>
      <w:pPr>
        <w:spacing w:after="0" w:line="99" w:lineRule="exact"/>
        <w:rPr>
          <w:sz w:val="20"/>
          <w:szCs w:val="20"/>
          <w:color w:val="auto"/>
        </w:rPr>
      </w:pPr>
    </w:p>
    <w:p>
      <w:pPr>
        <w:ind w:left="640" w:right="679"/>
        <w:spacing w:after="0" w:line="261" w:lineRule="auto"/>
        <w:rPr>
          <w:sz w:val="20"/>
          <w:szCs w:val="20"/>
          <w:color w:val="auto"/>
        </w:rPr>
      </w:pPr>
      <w:r>
        <w:rPr>
          <w:rFonts w:ascii="Times New Roman" w:cs="Times New Roman" w:eastAsia="Times New Roman" w:hAnsi="Times New Roman"/>
          <w:sz w:val="14"/>
          <w:szCs w:val="14"/>
          <w:color w:val="auto"/>
        </w:rPr>
        <w:t xml:space="preserve">In November 2024, the Financial Accounting Standards Board (“FASB”) issued Accounting Standards Update (“ASU”) 2024-03, </w:t>
      </w:r>
      <w:r>
        <w:rPr>
          <w:rFonts w:ascii="Times New Roman" w:cs="Times New Roman" w:eastAsia="Times New Roman" w:hAnsi="Times New Roman"/>
          <w:sz w:val="14"/>
          <w:szCs w:val="14"/>
          <w:i w:val="1"/>
          <w:iCs w:val="1"/>
          <w:color w:val="auto"/>
        </w:rPr>
        <w:t>Income Statement - Reporting Comprehensive Income - Expense Disaggregation Disclosures (Subtopic 220-40): Disaggregation of Income Statement Expenses</w:t>
      </w:r>
      <w:r>
        <w:rPr>
          <w:rFonts w:ascii="Times New Roman" w:cs="Times New Roman" w:eastAsia="Times New Roman" w:hAnsi="Times New Roman"/>
          <w:sz w:val="14"/>
          <w:szCs w:val="14"/>
          <w:color w:val="auto"/>
        </w:rPr>
        <w:t>, which was further clarified in January 2025 through the issuance of ASU 2025-01. These ASUs require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new financial statement disclosures to provide disaggregated information for certain types of expenses, including purchases of inventory, employee compensation, depreciation, and amortization in commonly presented expense captions such as cost of goods and services and selling, general, and administrative expenses. The amendments in these ASUs are effective for annual periods beginning after December 15, 2026, with early adoption permitted. The adoption of this guidance will have no impact on the Company’s consolidated financial condition or results of operations. The Company is currently evaluating the impact to the related disclosures.</w:t>
      </w:r>
    </w:p>
    <w:p>
      <w:pPr>
        <w:spacing w:after="0" w:line="58" w:lineRule="exact"/>
        <w:rPr>
          <w:sz w:val="20"/>
          <w:szCs w:val="20"/>
          <w:color w:val="auto"/>
        </w:rPr>
      </w:pPr>
    </w:p>
    <w:p>
      <w:pPr>
        <w:ind w:left="640" w:right="699"/>
        <w:spacing w:after="0" w:line="261" w:lineRule="auto"/>
        <w:rPr>
          <w:sz w:val="20"/>
          <w:szCs w:val="20"/>
          <w:color w:val="auto"/>
        </w:rPr>
      </w:pPr>
      <w:r>
        <w:rPr>
          <w:rFonts w:ascii="Times New Roman" w:cs="Times New Roman" w:eastAsia="Times New Roman" w:hAnsi="Times New Roman"/>
          <w:sz w:val="14"/>
          <w:szCs w:val="14"/>
          <w:color w:val="auto"/>
        </w:rPr>
        <w:t xml:space="preserve">In September 2025, the FASB issued ASU 2025-06, </w:t>
      </w:r>
      <w:r>
        <w:rPr>
          <w:rFonts w:ascii="Times New Roman" w:cs="Times New Roman" w:eastAsia="Times New Roman" w:hAnsi="Times New Roman"/>
          <w:sz w:val="14"/>
          <w:szCs w:val="14"/>
          <w:i w:val="1"/>
          <w:iCs w:val="1"/>
          <w:color w:val="auto"/>
        </w:rPr>
        <w:t>Intangibles-Goodwill and Other-Internal-Use Software (Subtopic 350-40):</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Targeted Improvements to the Accounting for Internal-Use Software</w:t>
      </w:r>
      <w:r>
        <w:rPr>
          <w:rFonts w:ascii="Times New Roman" w:cs="Times New Roman" w:eastAsia="Times New Roman" w:hAnsi="Times New Roman"/>
          <w:sz w:val="14"/>
          <w:szCs w:val="14"/>
          <w:color w:val="auto"/>
        </w:rPr>
        <w:t>, which modernizes the accounting for internal-use software costs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by removing all references to prescriptive and sequential software development stages. The new standard requires entities to consider whether significant development uncertainty has been resolved before starting to capitalize software costs and aligns disclosure requirements with Accounting Standards Codification (“ASC”) 360, </w:t>
      </w:r>
      <w:r>
        <w:rPr>
          <w:rFonts w:ascii="Times New Roman" w:cs="Times New Roman" w:eastAsia="Times New Roman" w:hAnsi="Times New Roman"/>
          <w:sz w:val="14"/>
          <w:szCs w:val="14"/>
          <w:i w:val="1"/>
          <w:iCs w:val="1"/>
          <w:color w:val="auto"/>
        </w:rPr>
        <w:t>Property, Plant, and Equipment</w:t>
      </w:r>
      <w:r>
        <w:rPr>
          <w:rFonts w:ascii="Times New Roman" w:cs="Times New Roman" w:eastAsia="Times New Roman" w:hAnsi="Times New Roman"/>
          <w:sz w:val="14"/>
          <w:szCs w:val="14"/>
          <w:color w:val="auto"/>
        </w:rPr>
        <w:t>. The ASU is effective for annual and interim reporting periods beginning after December 15, 2027, and can be applied prospectively, retrospectively, or using a modified transition method, with early adoption permitted. The Company is currently evaluating the impacts of this guidance on the consolidated financial statements and related disclosures.</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14" w:name="page15"/>
    <w:bookmarkEnd w:id="14"/>
    <w:p>
      <w:pPr>
        <w:ind w:left="640"/>
        <w:spacing w:after="0"/>
        <w:rPr>
          <w:sz w:val="20"/>
          <w:szCs w:val="20"/>
          <w:color w:val="auto"/>
        </w:rPr>
      </w:pPr>
      <w:r>
        <w:rPr>
          <w:rFonts w:ascii="Times New Roman" w:cs="Times New Roman" w:eastAsia="Times New Roman" w:hAnsi="Times New Roman"/>
          <w:sz w:val="14"/>
          <w:szCs w:val="14"/>
          <w:b w:val="1"/>
          <w:bCs w:val="1"/>
          <w:color w:val="auto"/>
        </w:rPr>
        <w:t>2. Discontinued Operations</w:t>
      </w:r>
    </w:p>
    <w:p>
      <w:pPr>
        <w:spacing w:after="0" w:line="185" w:lineRule="exact"/>
        <w:rPr>
          <w:sz w:val="20"/>
          <w:szCs w:val="20"/>
          <w:color w:val="auto"/>
        </w:rPr>
      </w:pPr>
    </w:p>
    <w:p>
      <w:pPr>
        <w:ind w:left="640" w:right="759"/>
        <w:spacing w:after="0" w:line="265" w:lineRule="auto"/>
        <w:rPr>
          <w:sz w:val="20"/>
          <w:szCs w:val="20"/>
          <w:color w:val="auto"/>
        </w:rPr>
      </w:pPr>
      <w:r>
        <w:rPr>
          <w:rFonts w:ascii="Times New Roman" w:cs="Times New Roman" w:eastAsia="Times New Roman" w:hAnsi="Times New Roman"/>
          <w:sz w:val="14"/>
          <w:szCs w:val="14"/>
          <w:color w:val="auto"/>
        </w:rPr>
        <w:t>On January 17, 2025, BrightSpring entered into a definitive agreement to sell its Community Living business to National Mentor Holdings, Inc. (the “Purchaser”) for $835.0 million in cash upon closing, subject to certain post-closing adjustments. We entered into the transaction in order to streamline our service offerings and further focus on the senior and specialty populations. On March 30, 2026, the Company completed the transaction pursuant to the terms of the definitive agreement for cash proceeds of $810.9 million, resulting in a pre-tax gain on sale of $101.8 million.</w:t>
      </w:r>
    </w:p>
    <w:p>
      <w:pPr>
        <w:spacing w:after="0" w:line="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The following table reconciles the gross proceeds with the gain on sale, net of tax for the sale of the Community Living business:</w:t>
      </w:r>
    </w:p>
    <w:p>
      <w:pPr>
        <w:spacing w:after="0" w:line="170" w:lineRule="exact"/>
        <w:rPr>
          <w:sz w:val="20"/>
          <w:szCs w:val="20"/>
          <w:color w:val="auto"/>
        </w:rPr>
      </w:pPr>
    </w:p>
    <w:tbl>
      <w:tblPr>
        <w:tblLayout w:type="fixed"/>
        <w:tblInd w:w="640" w:type="dxa"/>
        <w:tblCellMar>
          <w:top w:w="0" w:type="dxa"/>
          <w:left w:w="0" w:type="dxa"/>
          <w:bottom w:w="0" w:type="dxa"/>
          <w:right w:w="0" w:type="dxa"/>
        </w:tblCellMar>
      </w:tblPr>
      <w:tr>
        <w:trPr>
          <w:trHeight w:val="126"/>
        </w:trPr>
        <w:tc>
          <w:tcPr>
            <w:tcW w:w="6180" w:type="dxa"/>
            <w:vAlign w:val="bottom"/>
          </w:tcPr>
          <w:p>
            <w:pPr>
              <w:spacing w:after="0"/>
              <w:rPr>
                <w:sz w:val="11"/>
                <w:szCs w:val="11"/>
                <w:color w:val="auto"/>
              </w:rPr>
            </w:pPr>
          </w:p>
        </w:tc>
        <w:tc>
          <w:tcPr>
            <w:tcW w:w="1560" w:type="dxa"/>
            <w:vAlign w:val="bottom"/>
            <w:gridSpan w:val="3"/>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For the Nine Months Ended</w:t>
            </w:r>
          </w:p>
        </w:tc>
      </w:tr>
      <w:tr>
        <w:trPr>
          <w:trHeight w:val="137"/>
        </w:trPr>
        <w:tc>
          <w:tcPr>
            <w:tcW w:w="6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September 30,</w:t>
            </w:r>
          </w:p>
        </w:tc>
      </w:tr>
      <w:tr>
        <w:trPr>
          <w:trHeight w:val="109"/>
        </w:trPr>
        <w:tc>
          <w:tcPr>
            <w:tcW w:w="6180" w:type="dxa"/>
            <w:vAlign w:val="bottom"/>
          </w:tcPr>
          <w:p>
            <w:pPr>
              <w:spacing w:after="0"/>
              <w:rPr>
                <w:sz w:val="9"/>
                <w:szCs w:val="9"/>
                <w:color w:val="auto"/>
              </w:rPr>
            </w:pPr>
          </w:p>
        </w:tc>
        <w:tc>
          <w:tcPr>
            <w:tcW w:w="220" w:type="dxa"/>
            <w:vAlign w:val="bottom"/>
            <w:tcBorders>
              <w:top w:val="single" w:sz="8" w:color="auto"/>
              <w:bottom w:val="single" w:sz="8" w:color="auto"/>
            </w:tcBorders>
          </w:tcPr>
          <w:p>
            <w:pPr>
              <w:spacing w:after="0"/>
              <w:rPr>
                <w:sz w:val="9"/>
                <w:szCs w:val="9"/>
                <w:color w:val="auto"/>
              </w:rPr>
            </w:pPr>
          </w:p>
        </w:tc>
        <w:tc>
          <w:tcPr>
            <w:tcW w:w="1260" w:type="dxa"/>
            <w:vAlign w:val="bottom"/>
            <w:tcBorders>
              <w:top w:val="single" w:sz="8" w:color="auto"/>
              <w:bottom w:val="single" w:sz="8" w:color="auto"/>
            </w:tcBorders>
          </w:tcPr>
          <w:p>
            <w:pPr>
              <w:jc w:val="center"/>
              <w:ind w:right="172"/>
              <w:spacing w:after="0" w:line="109" w:lineRule="exact"/>
              <w:rPr>
                <w:sz w:val="20"/>
                <w:szCs w:val="20"/>
                <w:color w:val="auto"/>
              </w:rPr>
            </w:pPr>
            <w:r>
              <w:rPr>
                <w:rFonts w:ascii="Times New Roman" w:cs="Times New Roman" w:eastAsia="Times New Roman" w:hAnsi="Times New Roman"/>
                <w:sz w:val="11"/>
                <w:szCs w:val="11"/>
                <w:b w:val="1"/>
                <w:bCs w:val="1"/>
                <w:color w:val="auto"/>
                <w:w w:val="99"/>
              </w:rPr>
              <w:t>2026</w:t>
            </w:r>
          </w:p>
        </w:tc>
        <w:tc>
          <w:tcPr>
            <w:tcW w:w="80" w:type="dxa"/>
            <w:vAlign w:val="bottom"/>
          </w:tcPr>
          <w:p>
            <w:pPr>
              <w:spacing w:after="0"/>
              <w:rPr>
                <w:sz w:val="9"/>
                <w:szCs w:val="9"/>
                <w:color w:val="auto"/>
              </w:rPr>
            </w:pPr>
          </w:p>
        </w:tc>
      </w:tr>
      <w:tr>
        <w:trPr>
          <w:trHeight w:val="163"/>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Gross proceeds</w:t>
            </w:r>
          </w:p>
        </w:tc>
        <w:tc>
          <w:tcPr>
            <w:tcW w:w="22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835,000</w:t>
            </w:r>
          </w:p>
        </w:tc>
        <w:tc>
          <w:tcPr>
            <w:tcW w:w="80" w:type="dxa"/>
            <w:vAlign w:val="bottom"/>
            <w:shd w:val="clear" w:color="auto" w:fill="CFF0FC"/>
          </w:tcPr>
          <w:p>
            <w:pPr>
              <w:spacing w:after="0"/>
              <w:rPr>
                <w:sz w:val="14"/>
                <w:szCs w:val="14"/>
                <w:color w:val="auto"/>
              </w:rPr>
            </w:pPr>
          </w:p>
        </w:tc>
      </w:tr>
      <w:tr>
        <w:trPr>
          <w:trHeight w:val="172"/>
        </w:trPr>
        <w:tc>
          <w:tcPr>
            <w:tcW w:w="6180" w:type="dxa"/>
            <w:vAlign w:val="bottom"/>
          </w:tcPr>
          <w:p>
            <w:pPr>
              <w:spacing w:after="0"/>
              <w:rPr>
                <w:sz w:val="20"/>
                <w:szCs w:val="20"/>
                <w:color w:val="auto"/>
              </w:rPr>
            </w:pPr>
            <w:r>
              <w:rPr>
                <w:rFonts w:ascii="Times New Roman" w:cs="Times New Roman" w:eastAsia="Times New Roman" w:hAnsi="Times New Roman"/>
                <w:sz w:val="14"/>
                <w:szCs w:val="14"/>
                <w:color w:val="auto"/>
              </w:rPr>
              <w:t>Less: certain post-closing adjustments</w:t>
            </w:r>
          </w:p>
        </w:tc>
        <w:tc>
          <w:tcPr>
            <w:tcW w:w="2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12,640</w:t>
            </w:r>
          </w:p>
        </w:tc>
        <w:tc>
          <w:tcPr>
            <w:tcW w:w="80" w:type="dxa"/>
            <w:vAlign w:val="bottom"/>
          </w:tcPr>
          <w:p>
            <w:pPr>
              <w:spacing w:after="0"/>
              <w:rPr>
                <w:sz w:val="14"/>
                <w:szCs w:val="14"/>
                <w:color w:val="auto"/>
              </w:rPr>
            </w:pPr>
          </w:p>
        </w:tc>
      </w:tr>
      <w:tr>
        <w:trPr>
          <w:trHeight w:val="172"/>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Less: direct costs to sell</w:t>
            </w:r>
          </w:p>
        </w:tc>
        <w:tc>
          <w:tcPr>
            <w:tcW w:w="220" w:type="dxa"/>
            <w:vAlign w:val="bottom"/>
            <w:shd w:val="clear" w:color="auto" w:fill="CFF0FC"/>
          </w:tcPr>
          <w:p>
            <w:pPr>
              <w:spacing w:after="0"/>
              <w:rPr>
                <w:sz w:val="14"/>
                <w:szCs w:val="14"/>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13,854</w:t>
            </w:r>
          </w:p>
        </w:tc>
        <w:tc>
          <w:tcPr>
            <w:tcW w:w="80" w:type="dxa"/>
            <w:vAlign w:val="bottom"/>
            <w:shd w:val="clear" w:color="auto" w:fill="CFF0FC"/>
          </w:tcPr>
          <w:p>
            <w:pPr>
              <w:spacing w:after="0"/>
              <w:rPr>
                <w:sz w:val="14"/>
                <w:szCs w:val="14"/>
                <w:color w:val="auto"/>
              </w:rPr>
            </w:pPr>
          </w:p>
        </w:tc>
      </w:tr>
      <w:tr>
        <w:trPr>
          <w:trHeight w:val="172"/>
        </w:trPr>
        <w:tc>
          <w:tcPr>
            <w:tcW w:w="6180" w:type="dxa"/>
            <w:vAlign w:val="bottom"/>
          </w:tcPr>
          <w:p>
            <w:pPr>
              <w:spacing w:after="0"/>
              <w:rPr>
                <w:sz w:val="20"/>
                <w:szCs w:val="20"/>
                <w:color w:val="auto"/>
              </w:rPr>
            </w:pPr>
            <w:r>
              <w:rPr>
                <w:rFonts w:ascii="Times New Roman" w:cs="Times New Roman" w:eastAsia="Times New Roman" w:hAnsi="Times New Roman"/>
                <w:sz w:val="14"/>
                <w:szCs w:val="14"/>
                <w:color w:val="auto"/>
              </w:rPr>
              <w:t>Less: carrying amount of Community Living business</w:t>
            </w:r>
          </w:p>
        </w:tc>
        <w:tc>
          <w:tcPr>
            <w:tcW w:w="2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706,661</w:t>
            </w:r>
          </w:p>
        </w:tc>
        <w:tc>
          <w:tcPr>
            <w:tcW w:w="80" w:type="dxa"/>
            <w:vAlign w:val="bottom"/>
          </w:tcPr>
          <w:p>
            <w:pPr>
              <w:spacing w:after="0"/>
              <w:rPr>
                <w:sz w:val="14"/>
                <w:szCs w:val="14"/>
                <w:color w:val="auto"/>
              </w:rPr>
            </w:pPr>
          </w:p>
        </w:tc>
      </w:tr>
      <w:tr>
        <w:trPr>
          <w:trHeight w:val="163"/>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Gain on sale of discontinued operations</w:t>
            </w:r>
          </w:p>
        </w:tc>
        <w:tc>
          <w:tcPr>
            <w:tcW w:w="22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101,845</w:t>
            </w:r>
          </w:p>
        </w:tc>
        <w:tc>
          <w:tcPr>
            <w:tcW w:w="80" w:type="dxa"/>
            <w:vAlign w:val="bottom"/>
            <w:shd w:val="clear" w:color="auto" w:fill="CFF0FC"/>
          </w:tcPr>
          <w:p>
            <w:pPr>
              <w:spacing w:after="0"/>
              <w:rPr>
                <w:sz w:val="14"/>
                <w:szCs w:val="14"/>
                <w:color w:val="auto"/>
              </w:rPr>
            </w:pPr>
          </w:p>
        </w:tc>
      </w:tr>
      <w:tr>
        <w:trPr>
          <w:trHeight w:val="172"/>
        </w:trPr>
        <w:tc>
          <w:tcPr>
            <w:tcW w:w="6180" w:type="dxa"/>
            <w:vAlign w:val="bottom"/>
          </w:tcPr>
          <w:p>
            <w:pPr>
              <w:spacing w:after="0"/>
              <w:rPr>
                <w:sz w:val="20"/>
                <w:szCs w:val="20"/>
                <w:color w:val="auto"/>
              </w:rPr>
            </w:pPr>
            <w:r>
              <w:rPr>
                <w:rFonts w:ascii="Times New Roman" w:cs="Times New Roman" w:eastAsia="Times New Roman" w:hAnsi="Times New Roman"/>
                <w:sz w:val="14"/>
                <w:szCs w:val="14"/>
                <w:color w:val="auto"/>
              </w:rPr>
              <w:t>Less: current and deferred tax impact</w:t>
            </w:r>
          </w:p>
        </w:tc>
        <w:tc>
          <w:tcPr>
            <w:tcW w:w="2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72,218</w:t>
            </w:r>
          </w:p>
        </w:tc>
        <w:tc>
          <w:tcPr>
            <w:tcW w:w="80" w:type="dxa"/>
            <w:vAlign w:val="bottom"/>
          </w:tcPr>
          <w:p>
            <w:pPr>
              <w:spacing w:after="0"/>
              <w:rPr>
                <w:sz w:val="14"/>
                <w:szCs w:val="14"/>
                <w:color w:val="auto"/>
              </w:rPr>
            </w:pPr>
          </w:p>
        </w:tc>
      </w:tr>
      <w:tr>
        <w:trPr>
          <w:trHeight w:val="203"/>
        </w:trPr>
        <w:tc>
          <w:tcPr>
            <w:tcW w:w="6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gain on sale of discontinued operations</w:t>
            </w:r>
          </w:p>
        </w:tc>
        <w:tc>
          <w:tcPr>
            <w:tcW w:w="220" w:type="dxa"/>
            <w:vAlign w:val="bottom"/>
            <w:tcBorders>
              <w:bottom w:val="single" w:sz="8" w:color="auto"/>
            </w:tcBorders>
            <w:shd w:val="clear" w:color="auto" w:fill="CFF0FC"/>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29,627</w:t>
            </w:r>
          </w:p>
        </w:tc>
        <w:tc>
          <w:tcPr>
            <w:tcW w:w="80" w:type="dxa"/>
            <w:vAlign w:val="bottom"/>
            <w:tcBorders>
              <w:bottom w:val="single" w:sz="8" w:color="CFF0FC"/>
            </w:tcBorders>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5267325</wp:posOffset>
            </wp:positionH>
            <wp:positionV relativeFrom="paragraph">
              <wp:posOffset>-19685</wp:posOffset>
            </wp:positionV>
            <wp:extent cx="47625" cy="69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-6350</wp:posOffset>
            </wp:positionV>
            <wp:extent cx="47625" cy="69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137" w:lineRule="exact"/>
        <w:rPr>
          <w:sz w:val="20"/>
          <w:szCs w:val="20"/>
          <w:color w:val="auto"/>
        </w:rPr>
      </w:pPr>
    </w:p>
    <w:p>
      <w:pPr>
        <w:ind w:left="640" w:right="919"/>
        <w:spacing w:after="0" w:line="265" w:lineRule="auto"/>
        <w:rPr>
          <w:sz w:val="20"/>
          <w:szCs w:val="20"/>
          <w:color w:val="auto"/>
        </w:rPr>
      </w:pPr>
      <w:r>
        <w:rPr>
          <w:rFonts w:ascii="Times New Roman" w:cs="Times New Roman" w:eastAsia="Times New Roman" w:hAnsi="Times New Roman"/>
          <w:sz w:val="14"/>
          <w:szCs w:val="14"/>
          <w:color w:val="auto"/>
        </w:rPr>
        <w:t xml:space="preserve">During the first fiscal quarter of 2025, the Company determined the divestiture of the Community Living business represented a strategic shift that resulted in a major effect on its business and concluded the criteria for classification as discontinued operations were met. Accordingly, the Community Living business is reported as discontinued operations in accordance with ASC 205-20, </w:t>
      </w:r>
      <w:r>
        <w:rPr>
          <w:rFonts w:ascii="Times New Roman" w:cs="Times New Roman" w:eastAsia="Times New Roman" w:hAnsi="Times New Roman"/>
          <w:sz w:val="14"/>
          <w:szCs w:val="14"/>
          <w:i w:val="1"/>
          <w:iCs w:val="1"/>
          <w:color w:val="auto"/>
        </w:rPr>
        <w:t>Discontinued Operations</w:t>
      </w:r>
      <w:r>
        <w:rPr>
          <w:rFonts w:ascii="Times New Roman" w:cs="Times New Roman" w:eastAsia="Times New Roman" w:hAnsi="Times New Roman"/>
          <w:sz w:val="14"/>
          <w:szCs w:val="14"/>
          <w:color w:val="auto"/>
        </w:rPr>
        <w:t>. The Community Living business was historically presented as a part of the Provider Services reportable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segment.</w:t>
      </w:r>
    </w:p>
    <w:p>
      <w:pPr>
        <w:spacing w:after="0" w:line="140" w:lineRule="exact"/>
        <w:rPr>
          <w:sz w:val="20"/>
          <w:szCs w:val="20"/>
          <w:color w:val="auto"/>
        </w:rPr>
      </w:pPr>
    </w:p>
    <w:p>
      <w:pPr>
        <w:ind w:left="640" w:right="719"/>
        <w:spacing w:after="0" w:line="261" w:lineRule="auto"/>
        <w:rPr>
          <w:sz w:val="20"/>
          <w:szCs w:val="20"/>
          <w:color w:val="auto"/>
        </w:rPr>
      </w:pPr>
      <w:r>
        <w:rPr>
          <w:rFonts w:ascii="Times New Roman" w:cs="Times New Roman" w:eastAsia="Times New Roman" w:hAnsi="Times New Roman"/>
          <w:sz w:val="14"/>
          <w:szCs w:val="14"/>
          <w:color w:val="auto"/>
        </w:rPr>
        <w:t xml:space="preserve">In accordance with ASC 205-20, </w:t>
      </w:r>
      <w:r>
        <w:rPr>
          <w:rFonts w:ascii="Times New Roman" w:cs="Times New Roman" w:eastAsia="Times New Roman" w:hAnsi="Times New Roman"/>
          <w:sz w:val="14"/>
          <w:szCs w:val="14"/>
          <w:i w:val="1"/>
          <w:iCs w:val="1"/>
          <w:color w:val="auto"/>
        </w:rPr>
        <w:t>Allocation of Interest to Discontinued Operations</w:t>
      </w:r>
      <w:r>
        <w:rPr>
          <w:rFonts w:ascii="Times New Roman" w:cs="Times New Roman" w:eastAsia="Times New Roman" w:hAnsi="Times New Roman"/>
          <w:sz w:val="14"/>
          <w:szCs w:val="14"/>
          <w:color w:val="auto"/>
        </w:rPr>
        <w:t>, the Company elected to allocate interest expense to discontinued operations for the Company’s debt that is not directly attributed to the Community Living business. Interest expense was allocated based on a ratio of net assets held for sale to the sum of consolidated net assets and consolidated debt. In addition, upon closing of the divestiture, we entered into a transition services agreement (“TSA”) with the Purchaser to support the Purchaser’s post-closing operations of the Community Living business by providing the Purchaser with certain transition services in exchange for service fees in the form of both fixed-price and pass-through costs over the 18 months following the close of the transaction. Transition services primarily include finance and accounting, human resources, IT, facilities management, and compliance services. The fees associated with the services rendered under the TSA are presented in selling, general, and administrative expenses in the unaudited condensed consolidated statement of operations and are not material to our results of operations.</w:t>
      </w:r>
    </w:p>
    <w:p>
      <w:pPr>
        <w:spacing w:after="0" w:line="59" w:lineRule="exact"/>
        <w:rPr>
          <w:sz w:val="20"/>
          <w:szCs w:val="20"/>
          <w:color w:val="auto"/>
        </w:rPr>
      </w:pPr>
    </w:p>
    <w:p>
      <w:pPr>
        <w:jc w:val="both"/>
        <w:ind w:left="640" w:right="699"/>
        <w:spacing w:after="0" w:line="274" w:lineRule="auto"/>
        <w:rPr>
          <w:sz w:val="20"/>
          <w:szCs w:val="20"/>
          <w:color w:val="auto"/>
        </w:rPr>
      </w:pPr>
      <w:r>
        <w:rPr>
          <w:rFonts w:ascii="Times New Roman" w:cs="Times New Roman" w:eastAsia="Times New Roman" w:hAnsi="Times New Roman"/>
          <w:sz w:val="14"/>
          <w:szCs w:val="14"/>
          <w:color w:val="auto"/>
        </w:rPr>
        <w:t>The financial results of the Community Living business are presented as (loss) income from discontinued operations on our unaudited condensed consolidated statements of operations. The following table presents the financial results of the Community Living business (in thousands):</w:t>
      </w:r>
    </w:p>
    <w:p>
      <w:pPr>
        <w:spacing w:after="0" w:line="123" w:lineRule="exact"/>
        <w:rPr>
          <w:sz w:val="20"/>
          <w:szCs w:val="20"/>
          <w:color w:val="auto"/>
        </w:rPr>
      </w:pPr>
    </w:p>
    <w:tbl>
      <w:tblPr>
        <w:tblLayout w:type="fixed"/>
        <w:tblInd w:w="120" w:type="dxa"/>
        <w:tblCellMar>
          <w:top w:w="0" w:type="dxa"/>
          <w:left w:w="0" w:type="dxa"/>
          <w:bottom w:w="0" w:type="dxa"/>
          <w:right w:w="0" w:type="dxa"/>
        </w:tblCellMar>
      </w:tblPr>
      <w:tr>
        <w:trPr>
          <w:trHeight w:val="126"/>
        </w:trPr>
        <w:tc>
          <w:tcPr>
            <w:tcW w:w="520" w:type="dxa"/>
            <w:vAlign w:val="bottom"/>
          </w:tcPr>
          <w:p>
            <w:pPr>
              <w:spacing w:after="0"/>
              <w:rPr>
                <w:sz w:val="10"/>
                <w:szCs w:val="10"/>
                <w:color w:val="auto"/>
              </w:rPr>
            </w:pPr>
          </w:p>
        </w:tc>
        <w:tc>
          <w:tcPr>
            <w:tcW w:w="3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740" w:type="dxa"/>
            <w:vAlign w:val="bottom"/>
            <w:gridSpan w:val="5"/>
          </w:tcPr>
          <w:p>
            <w:pPr>
              <w:jc w:val="right"/>
              <w:ind w:right="90"/>
              <w:spacing w:after="0"/>
              <w:rPr>
                <w:sz w:val="20"/>
                <w:szCs w:val="20"/>
                <w:color w:val="auto"/>
              </w:rPr>
            </w:pPr>
            <w:r>
              <w:rPr>
                <w:rFonts w:ascii="Times New Roman" w:cs="Times New Roman" w:eastAsia="Times New Roman" w:hAnsi="Times New Roman"/>
                <w:sz w:val="11"/>
                <w:szCs w:val="11"/>
                <w:b w:val="1"/>
                <w:bCs w:val="1"/>
                <w:color w:val="auto"/>
              </w:rPr>
              <w:t>For the Three Months Ended</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20" w:type="dxa"/>
            <w:vAlign w:val="bottom"/>
            <w:gridSpan w:val="6"/>
          </w:tcPr>
          <w:p>
            <w:pPr>
              <w:ind w:left="60"/>
              <w:spacing w:after="0"/>
              <w:rPr>
                <w:sz w:val="20"/>
                <w:szCs w:val="20"/>
                <w:color w:val="auto"/>
              </w:rPr>
            </w:pPr>
            <w:r>
              <w:rPr>
                <w:rFonts w:ascii="Times New Roman" w:cs="Times New Roman" w:eastAsia="Times New Roman" w:hAnsi="Times New Roman"/>
                <w:sz w:val="11"/>
                <w:szCs w:val="11"/>
                <w:b w:val="1"/>
                <w:bCs w:val="1"/>
                <w:color w:val="auto"/>
              </w:rPr>
              <w:t>For the Nine Months Ended</w:t>
            </w:r>
          </w:p>
        </w:tc>
        <w:tc>
          <w:tcPr>
            <w:tcW w:w="0" w:type="dxa"/>
            <w:vAlign w:val="bottom"/>
          </w:tcPr>
          <w:p>
            <w:pPr>
              <w:spacing w:after="0"/>
              <w:rPr>
                <w:sz w:val="1"/>
                <w:szCs w:val="1"/>
                <w:color w:val="auto"/>
              </w:rPr>
            </w:pPr>
          </w:p>
        </w:tc>
      </w:tr>
      <w:tr>
        <w:trPr>
          <w:trHeight w:val="137"/>
        </w:trPr>
        <w:tc>
          <w:tcPr>
            <w:tcW w:w="52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5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5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520" w:type="dxa"/>
            <w:vAlign w:val="bottom"/>
          </w:tcPr>
          <w:p>
            <w:pPr>
              <w:spacing w:after="0"/>
              <w:rPr>
                <w:sz w:val="9"/>
                <w:szCs w:val="9"/>
                <w:color w:val="auto"/>
              </w:rPr>
            </w:pPr>
          </w:p>
        </w:tc>
        <w:tc>
          <w:tcPr>
            <w:tcW w:w="3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Borders>
              <w:bottom w:val="single" w:sz="8" w:color="auto"/>
            </w:tcBorders>
          </w:tcPr>
          <w:p>
            <w:pPr>
              <w:jc w:val="right"/>
              <w:spacing w:after="0" w:line="109" w:lineRule="exact"/>
              <w:rPr>
                <w:sz w:val="20"/>
                <w:szCs w:val="20"/>
                <w:color w:val="auto"/>
              </w:rPr>
            </w:pPr>
            <w:r>
              <w:rPr>
                <w:rFonts w:ascii="Times New Roman" w:cs="Times New Roman" w:eastAsia="Times New Roman" w:hAnsi="Times New Roman"/>
                <w:sz w:val="11"/>
                <w:szCs w:val="11"/>
                <w:b w:val="1"/>
                <w:bCs w:val="1"/>
                <w:color w:val="auto"/>
              </w:rPr>
              <w:t>2026</w:t>
            </w:r>
          </w:p>
        </w:tc>
        <w:tc>
          <w:tcPr>
            <w:tcW w:w="28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jc w:val="right"/>
              <w:ind w:right="210"/>
              <w:spacing w:after="0" w:line="109" w:lineRule="exact"/>
              <w:rPr>
                <w:sz w:val="20"/>
                <w:szCs w:val="20"/>
                <w:color w:val="auto"/>
              </w:rPr>
            </w:pPr>
            <w:r>
              <w:rPr>
                <w:rFonts w:ascii="Times New Roman" w:cs="Times New Roman" w:eastAsia="Times New Roman" w:hAnsi="Times New Roman"/>
                <w:sz w:val="11"/>
                <w:szCs w:val="11"/>
                <w:b w:val="1"/>
                <w:bCs w:val="1"/>
                <w:color w:val="auto"/>
                <w:w w:val="99"/>
              </w:rPr>
              <w:t>2025</w:t>
            </w:r>
          </w:p>
        </w:tc>
        <w:tc>
          <w:tcPr>
            <w:tcW w:w="1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jc w:val="right"/>
              <w:ind w:right="212"/>
              <w:spacing w:after="0" w:line="109" w:lineRule="exact"/>
              <w:rPr>
                <w:sz w:val="20"/>
                <w:szCs w:val="20"/>
                <w:color w:val="auto"/>
              </w:rPr>
            </w:pPr>
            <w:r>
              <w:rPr>
                <w:rFonts w:ascii="Times New Roman" w:cs="Times New Roman" w:eastAsia="Times New Roman" w:hAnsi="Times New Roman"/>
                <w:sz w:val="11"/>
                <w:szCs w:val="11"/>
                <w:b w:val="1"/>
                <w:bCs w:val="1"/>
                <w:color w:val="auto"/>
              </w:rPr>
              <w:t>2026</w:t>
            </w:r>
          </w:p>
        </w:tc>
        <w:tc>
          <w:tcPr>
            <w:tcW w:w="16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jc w:val="right"/>
              <w:ind w:right="230"/>
              <w:spacing w:after="0" w:line="109" w:lineRule="exact"/>
              <w:rPr>
                <w:sz w:val="20"/>
                <w:szCs w:val="20"/>
                <w:color w:val="auto"/>
              </w:rPr>
            </w:pPr>
            <w:r>
              <w:rPr>
                <w:rFonts w:ascii="Times New Roman" w:cs="Times New Roman" w:eastAsia="Times New Roman" w:hAnsi="Times New Roman"/>
                <w:sz w:val="11"/>
                <w:szCs w:val="11"/>
                <w:b w:val="1"/>
                <w:bCs w:val="1"/>
                <w:color w:val="auto"/>
                <w:w w:val="90"/>
              </w:rPr>
              <w:t>2025</w:t>
            </w: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520" w:type="dxa"/>
            <w:vAlign w:val="bottom"/>
          </w:tcPr>
          <w:p>
            <w:pPr>
              <w:spacing w:after="0"/>
              <w:rPr>
                <w:sz w:val="14"/>
                <w:szCs w:val="14"/>
                <w:color w:val="auto"/>
              </w:rPr>
            </w:pPr>
          </w:p>
        </w:tc>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Services revenue</w:t>
            </w:r>
          </w:p>
        </w:tc>
        <w:tc>
          <w:tcPr>
            <w:tcW w:w="24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44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314,605</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306,646</w:t>
            </w:r>
          </w:p>
        </w:tc>
        <w:tc>
          <w:tcPr>
            <w:tcW w:w="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921,394</w:t>
            </w:r>
          </w:p>
        </w:tc>
        <w:tc>
          <w:tcPr>
            <w:tcW w:w="80" w:type="dxa"/>
            <w:vAlign w:val="bottom"/>
            <w:shd w:val="clear" w:color="auto" w:fill="CFF0FC"/>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4"/>
                <w:szCs w:val="14"/>
                <w:color w:val="auto"/>
              </w:rPr>
              <w:t>Cost of services</w:t>
            </w:r>
          </w:p>
        </w:tc>
        <w:tc>
          <w:tcPr>
            <w:tcW w:w="24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212,251</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206,585</w:t>
            </w:r>
          </w:p>
        </w:tc>
        <w:tc>
          <w:tcPr>
            <w:tcW w:w="1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628,048</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20" w:type="dxa"/>
            <w:vAlign w:val="bottom"/>
          </w:tcPr>
          <w:p>
            <w:pPr>
              <w:spacing w:after="0"/>
              <w:rPr>
                <w:sz w:val="14"/>
                <w:szCs w:val="14"/>
                <w:color w:val="auto"/>
              </w:rPr>
            </w:pPr>
          </w:p>
        </w:tc>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Gross profit</w:t>
            </w:r>
          </w:p>
        </w:tc>
        <w:tc>
          <w:tcPr>
            <w:tcW w:w="24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44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102,354</w:t>
            </w: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100,061</w:t>
            </w:r>
          </w:p>
        </w:tc>
        <w:tc>
          <w:tcPr>
            <w:tcW w:w="1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293,346</w:t>
            </w:r>
          </w:p>
        </w:tc>
        <w:tc>
          <w:tcPr>
            <w:tcW w:w="80" w:type="dxa"/>
            <w:vAlign w:val="bottom"/>
            <w:shd w:val="clear" w:color="auto" w:fill="CFF0FC"/>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24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262</w:t>
            </w:r>
          </w:p>
        </w:tc>
        <w:tc>
          <w:tcPr>
            <w:tcW w:w="1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70,940</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45,931</w:t>
            </w:r>
          </w:p>
        </w:tc>
        <w:tc>
          <w:tcPr>
            <w:tcW w:w="1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195,423</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20" w:type="dxa"/>
            <w:vAlign w:val="bottom"/>
          </w:tcPr>
          <w:p>
            <w:pPr>
              <w:spacing w:after="0"/>
              <w:rPr>
                <w:sz w:val="14"/>
                <w:szCs w:val="14"/>
                <w:color w:val="auto"/>
              </w:rPr>
            </w:pPr>
          </w:p>
        </w:tc>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Operating (loss) income of discontinued operations</w:t>
            </w:r>
          </w:p>
        </w:tc>
        <w:tc>
          <w:tcPr>
            <w:tcW w:w="24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440" w:type="dxa"/>
            <w:vAlign w:val="bottom"/>
            <w:tcBorders>
              <w:right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(262)</w:t>
            </w:r>
          </w:p>
        </w:tc>
        <w:tc>
          <w:tcPr>
            <w:tcW w:w="28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31,414</w:t>
            </w: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54,130</w:t>
            </w:r>
          </w:p>
        </w:tc>
        <w:tc>
          <w:tcPr>
            <w:tcW w:w="1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97,923</w:t>
            </w:r>
          </w:p>
        </w:tc>
        <w:tc>
          <w:tcPr>
            <w:tcW w:w="80" w:type="dxa"/>
            <w:vAlign w:val="bottom"/>
            <w:shd w:val="clear" w:color="auto" w:fill="CFF0FC"/>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4"/>
                <w:szCs w:val="14"/>
                <w:color w:val="auto"/>
              </w:rPr>
              <w:t>Interest expense, net</w:t>
            </w: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7,404</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6,677</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22,901</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(Loss) gain on sale of discontinued operations</w:t>
            </w:r>
          </w:p>
        </w:tc>
        <w:tc>
          <w:tcPr>
            <w:tcW w:w="24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440" w:type="dxa"/>
            <w:vAlign w:val="bottom"/>
            <w:tcBorders>
              <w:right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(23)</w:t>
            </w:r>
          </w:p>
        </w:tc>
        <w:tc>
          <w:tcPr>
            <w:tcW w:w="28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101,845</w:t>
            </w:r>
          </w:p>
        </w:tc>
        <w:tc>
          <w:tcPr>
            <w:tcW w:w="1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vMerge w:val="restart"/>
          </w:tcPr>
          <w:p>
            <w:pPr>
              <w:spacing w:after="0" w:line="20" w:lineRule="exact"/>
              <w:rPr>
                <w:sz w:val="1"/>
                <w:szCs w:val="1"/>
                <w:color w:val="auto"/>
              </w:rPr>
            </w:pPr>
          </w:p>
        </w:tc>
        <w:tc>
          <w:tcPr>
            <w:tcW w:w="376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Borders>
              <w:right w:val="single" w:sz="8" w:color="CFF0FC"/>
            </w:tcBorders>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20" w:type="dxa"/>
            <w:vAlign w:val="bottom"/>
            <w:vMerge w:val="continue"/>
          </w:tcPr>
          <w:p>
            <w:pPr>
              <w:spacing w:after="0"/>
              <w:rPr>
                <w:sz w:val="14"/>
                <w:szCs w:val="14"/>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4"/>
                <w:szCs w:val="14"/>
                <w:color w:val="auto"/>
              </w:rPr>
              <w:t>(Loss) income of discontinued operations before incomes taxes</w:t>
            </w: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(285)</w:t>
            </w:r>
          </w:p>
        </w:tc>
        <w:tc>
          <w:tcPr>
            <w:tcW w:w="2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24,010</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149,298</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75,022</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3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Income tax expense of discontinued operations</w:t>
            </w:r>
          </w:p>
        </w:tc>
        <w:tc>
          <w:tcPr>
            <w:tcW w:w="240" w:type="dxa"/>
            <w:vAlign w:val="bottom"/>
            <w:tcBorders>
              <w:bottom w:val="single" w:sz="8" w:color="CFF0FC"/>
            </w:tcBorders>
            <w:shd w:val="clear" w:color="auto" w:fill="CFF0FC"/>
          </w:tcPr>
          <w:p>
            <w:pPr>
              <w:spacing w:after="0"/>
              <w:rPr>
                <w:sz w:val="14"/>
                <w:szCs w:val="14"/>
                <w:color w:val="auto"/>
              </w:rPr>
            </w:pPr>
          </w:p>
        </w:tc>
        <w:tc>
          <w:tcPr>
            <w:tcW w:w="500" w:type="dxa"/>
            <w:vAlign w:val="bottom"/>
            <w:tcBorders>
              <w:bottom w:val="single" w:sz="8" w:color="auto"/>
            </w:tcBorders>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160" w:type="dxa"/>
            <w:vAlign w:val="bottom"/>
            <w:tcBorders>
              <w:bottom w:val="single" w:sz="8" w:color="CFF0FC"/>
              <w:right w:val="single" w:sz="8" w:color="CFF0FC"/>
            </w:tcBorders>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6,257</w:t>
            </w:r>
          </w:p>
        </w:tc>
        <w:tc>
          <w:tcPr>
            <w:tcW w:w="16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77,869</w:t>
            </w:r>
          </w:p>
        </w:tc>
        <w:tc>
          <w:tcPr>
            <w:tcW w:w="160" w:type="dxa"/>
            <w:vAlign w:val="bottom"/>
            <w:tcBorders>
              <w:bottom w:val="single" w:sz="8" w:color="CFF0FC"/>
            </w:tcBorders>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18,474</w:t>
            </w:r>
          </w:p>
        </w:tc>
        <w:tc>
          <w:tcPr>
            <w:tcW w:w="80" w:type="dxa"/>
            <w:vAlign w:val="bottom"/>
            <w:tcBorders>
              <w:bottom w:val="single" w:sz="8" w:color="CFF0FC"/>
            </w:tcBorders>
            <w:shd w:val="clear" w:color="auto" w:fill="CFF0FC"/>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20" w:type="dxa"/>
            <w:vAlign w:val="bottom"/>
          </w:tcPr>
          <w:p>
            <w:pPr>
              <w:spacing w:after="0"/>
              <w:rPr>
                <w:sz w:val="14"/>
                <w:szCs w:val="14"/>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4"/>
                <w:szCs w:val="14"/>
                <w:color w:val="auto"/>
              </w:rPr>
              <w:t>(Loss) income from discontinued operations, net of income taxes</w:t>
            </w:r>
          </w:p>
        </w:tc>
        <w:tc>
          <w:tcPr>
            <w:tcW w:w="740" w:type="dxa"/>
            <w:vAlign w:val="bottom"/>
            <w:gridSpan w:val="2"/>
          </w:tcPr>
          <w:p>
            <w:pPr>
              <w:jc w:val="right"/>
              <w:ind w:right="383"/>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(503)</w:t>
            </w: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17,753</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71,429</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56,548</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5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4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4"/>
        </w:trPr>
        <w:tc>
          <w:tcPr>
            <w:tcW w:w="520" w:type="dxa"/>
            <w:vAlign w:val="bottom"/>
            <w:tcBorders>
              <w:bottom w:val="single" w:sz="8" w:color="9A9A9A"/>
            </w:tcBorders>
          </w:tcPr>
          <w:p>
            <w:pPr>
              <w:spacing w:after="0"/>
              <w:rPr>
                <w:sz w:val="24"/>
                <w:szCs w:val="24"/>
                <w:color w:val="auto"/>
              </w:rPr>
            </w:pPr>
          </w:p>
        </w:tc>
        <w:tc>
          <w:tcPr>
            <w:tcW w:w="37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5629910</wp:posOffset>
            </wp:positionH>
            <wp:positionV relativeFrom="paragraph">
              <wp:posOffset>-25400</wp:posOffset>
            </wp:positionV>
            <wp:extent cx="3238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58420</wp:posOffset>
            </wp:positionH>
            <wp:positionV relativeFrom="paragraph">
              <wp:posOffset>-25400</wp:posOffset>
            </wp:positionV>
            <wp:extent cx="3238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3446780</wp:posOffset>
            </wp:positionH>
            <wp:positionV relativeFrom="paragraph">
              <wp:posOffset>-1083945</wp:posOffset>
            </wp:positionV>
            <wp:extent cx="47625" cy="69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4053205</wp:posOffset>
            </wp:positionH>
            <wp:positionV relativeFrom="paragraph">
              <wp:posOffset>-1083945</wp:posOffset>
            </wp:positionV>
            <wp:extent cx="47625" cy="69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4660265</wp:posOffset>
            </wp:positionH>
            <wp:positionV relativeFrom="paragraph">
              <wp:posOffset>-1083945</wp:posOffset>
            </wp:positionV>
            <wp:extent cx="47625" cy="69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-1083945</wp:posOffset>
            </wp:positionV>
            <wp:extent cx="47625" cy="698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3446780</wp:posOffset>
            </wp:positionH>
            <wp:positionV relativeFrom="paragraph">
              <wp:posOffset>-858520</wp:posOffset>
            </wp:positionV>
            <wp:extent cx="47625" cy="69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4053205</wp:posOffset>
            </wp:positionH>
            <wp:positionV relativeFrom="paragraph">
              <wp:posOffset>-858520</wp:posOffset>
            </wp:positionV>
            <wp:extent cx="47625" cy="69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4660265</wp:posOffset>
            </wp:positionH>
            <wp:positionV relativeFrom="paragraph">
              <wp:posOffset>-858520</wp:posOffset>
            </wp:positionV>
            <wp:extent cx="47625" cy="69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-858520</wp:posOffset>
            </wp:positionV>
            <wp:extent cx="47625" cy="698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ectPr>
          <w:pgSz w:w="11900" w:h="16838" w:orient="portrait"/>
          <w:cols w:equalWidth="0" w:num="1">
            <w:col w:w="9019"/>
          </w:cols>
          <w:pgMar w:left="1440" w:top="1154" w:right="1440" w:bottom="1440" w:gutter="0" w:footer="0" w:header="0"/>
        </w:sectPr>
      </w:pPr>
    </w:p>
    <w:bookmarkStart w:id="15" w:name="page16"/>
    <w:bookmarkEnd w:id="15"/>
    <w:p>
      <w:pPr>
        <w:ind w:left="640" w:right="759"/>
        <w:spacing w:after="0" w:line="292" w:lineRule="auto"/>
        <w:rPr>
          <w:sz w:val="20"/>
          <w:szCs w:val="20"/>
          <w:color w:val="auto"/>
        </w:rPr>
      </w:pPr>
      <w:r>
        <w:rPr>
          <w:rFonts w:ascii="Times New Roman" w:cs="Times New Roman" w:eastAsia="Times New Roman" w:hAnsi="Times New Roman"/>
          <w:sz w:val="14"/>
          <w:szCs w:val="14"/>
          <w:color w:val="auto"/>
        </w:rPr>
        <w:t>The following table presents the aggregate carrying amounts of assets and liabilities held for sale for the Community Living business as of December 31, 2025 in the unaudited condensed consolidated balance sheet (in thousands):</w:t>
      </w:r>
    </w:p>
    <w:p>
      <w:pPr>
        <w:spacing w:after="0" w:line="135" w:lineRule="exact"/>
        <w:rPr>
          <w:sz w:val="20"/>
          <w:szCs w:val="20"/>
          <w:color w:val="auto"/>
        </w:rPr>
      </w:pPr>
    </w:p>
    <w:tbl>
      <w:tblPr>
        <w:tblLayout w:type="fixed"/>
        <w:tblInd w:w="64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28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Current assets:</w:t>
            </w:r>
          </w:p>
        </w:tc>
        <w:tc>
          <w:tcPr>
            <w:tcW w:w="1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50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74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80" w:type="dxa"/>
            <w:vAlign w:val="bottom"/>
            <w:shd w:val="clear" w:color="auto" w:fill="CFF0FC"/>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50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Accounts receivable, net of allowance for credit losses</w:t>
            </w:r>
          </w:p>
        </w:tc>
        <w:tc>
          <w:tcPr>
            <w:tcW w:w="1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136,875</w:t>
            </w:r>
          </w:p>
        </w:tc>
        <w:tc>
          <w:tcPr>
            <w:tcW w:w="8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50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Inventories</w:t>
            </w:r>
          </w:p>
        </w:tc>
        <w:tc>
          <w:tcPr>
            <w:tcW w:w="128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3,294</w:t>
            </w:r>
          </w:p>
        </w:tc>
        <w:tc>
          <w:tcPr>
            <w:tcW w:w="80" w:type="dxa"/>
            <w:vAlign w:val="bottom"/>
            <w:shd w:val="clear" w:color="auto" w:fill="CFF0FC"/>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50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2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2,717</w:t>
            </w:r>
          </w:p>
        </w:tc>
        <w:tc>
          <w:tcPr>
            <w:tcW w:w="80" w:type="dxa"/>
            <w:vAlign w:val="bottom"/>
          </w:tcPr>
          <w:p>
            <w:pPr>
              <w:spacing w:after="0"/>
              <w:rPr>
                <w:sz w:val="14"/>
                <w:szCs w:val="14"/>
                <w:color w:val="auto"/>
              </w:rPr>
            </w:pPr>
          </w:p>
        </w:tc>
      </w:tr>
      <w:tr>
        <w:trPr>
          <w:trHeight w:val="152"/>
        </w:trPr>
        <w:tc>
          <w:tcPr>
            <w:tcW w:w="20" w:type="dxa"/>
            <w:vAlign w:val="bottom"/>
          </w:tcPr>
          <w:p>
            <w:pPr>
              <w:spacing w:after="0"/>
              <w:rPr>
                <w:sz w:val="13"/>
                <w:szCs w:val="13"/>
                <w:color w:val="auto"/>
              </w:rPr>
            </w:pPr>
          </w:p>
        </w:tc>
        <w:tc>
          <w:tcPr>
            <w:tcW w:w="5060" w:type="dxa"/>
            <w:vAlign w:val="bottom"/>
            <w:tcBorders>
              <w:bottom w:val="single" w:sz="8" w:color="CFF0FC"/>
            </w:tcBorders>
            <w:shd w:val="clear" w:color="auto" w:fill="CFF0FC"/>
          </w:tcPr>
          <w:p>
            <w:pPr>
              <w:ind w:left="400"/>
              <w:spacing w:after="0" w:line="152" w:lineRule="exact"/>
              <w:rPr>
                <w:sz w:val="20"/>
                <w:szCs w:val="20"/>
                <w:color w:val="auto"/>
              </w:rPr>
            </w:pPr>
            <w:r>
              <w:rPr>
                <w:rFonts w:ascii="Times New Roman" w:cs="Times New Roman" w:eastAsia="Times New Roman" w:hAnsi="Times New Roman"/>
                <w:sz w:val="14"/>
                <w:szCs w:val="14"/>
                <w:b w:val="1"/>
                <w:bCs w:val="1"/>
                <w:color w:val="auto"/>
              </w:rPr>
              <w:t>Total current assets held for sale</w:t>
            </w:r>
          </w:p>
        </w:tc>
        <w:tc>
          <w:tcPr>
            <w:tcW w:w="1280" w:type="dxa"/>
            <w:vAlign w:val="bottom"/>
            <w:tcBorders>
              <w:bottom w:val="single" w:sz="8" w:color="CFF0FC"/>
            </w:tcBorders>
            <w:shd w:val="clear" w:color="auto" w:fill="CFF0FC"/>
          </w:tcPr>
          <w:p>
            <w:pPr>
              <w:spacing w:after="0"/>
              <w:rPr>
                <w:sz w:val="13"/>
                <w:szCs w:val="13"/>
                <w:color w:val="auto"/>
              </w:rPr>
            </w:pPr>
          </w:p>
        </w:tc>
        <w:tc>
          <w:tcPr>
            <w:tcW w:w="460" w:type="dxa"/>
            <w:vAlign w:val="bottom"/>
            <w:tcBorders>
              <w:bottom w:val="single" w:sz="8" w:color="auto"/>
            </w:tcBorders>
            <w:shd w:val="clear" w:color="auto" w:fill="CFF0FC"/>
          </w:tcPr>
          <w:p>
            <w:pPr>
              <w:spacing w:after="0"/>
              <w:rPr>
                <w:sz w:val="13"/>
                <w:szCs w:val="13"/>
                <w:color w:val="auto"/>
              </w:rPr>
            </w:pPr>
          </w:p>
        </w:tc>
        <w:tc>
          <w:tcPr>
            <w:tcW w:w="840" w:type="dxa"/>
            <w:vAlign w:val="bottom"/>
            <w:tcBorders>
              <w:bottom w:val="single" w:sz="8" w:color="auto"/>
            </w:tcBorders>
            <w:shd w:val="clear" w:color="auto" w:fill="CFF0FC"/>
          </w:tcPr>
          <w:p>
            <w:pPr>
              <w:jc w:val="right"/>
              <w:spacing w:after="0" w:line="152" w:lineRule="exact"/>
              <w:rPr>
                <w:sz w:val="20"/>
                <w:szCs w:val="20"/>
                <w:color w:val="auto"/>
              </w:rPr>
            </w:pPr>
            <w:r>
              <w:rPr>
                <w:rFonts w:ascii="Times New Roman" w:cs="Times New Roman" w:eastAsia="Times New Roman" w:hAnsi="Times New Roman"/>
                <w:sz w:val="14"/>
                <w:szCs w:val="14"/>
                <w:color w:val="auto"/>
              </w:rPr>
              <w:t>142,993</w:t>
            </w:r>
          </w:p>
        </w:tc>
        <w:tc>
          <w:tcPr>
            <w:tcW w:w="80" w:type="dxa"/>
            <w:vAlign w:val="bottom"/>
            <w:tcBorders>
              <w:bottom w:val="single" w:sz="8" w:color="CFF0FC"/>
            </w:tcBorders>
            <w:shd w:val="clear" w:color="auto" w:fill="CFF0FC"/>
          </w:tcPr>
          <w:p>
            <w:pPr>
              <w:spacing w:after="0"/>
              <w:rPr>
                <w:sz w:val="13"/>
                <w:szCs w:val="13"/>
                <w:color w:val="auto"/>
              </w:rPr>
            </w:pPr>
          </w:p>
        </w:tc>
      </w:tr>
      <w:tr>
        <w:trPr>
          <w:trHeight w:val="152"/>
        </w:trPr>
        <w:tc>
          <w:tcPr>
            <w:tcW w:w="20" w:type="dxa"/>
            <w:vAlign w:val="bottom"/>
          </w:tcPr>
          <w:p>
            <w:pPr>
              <w:spacing w:after="0"/>
              <w:rPr>
                <w:sz w:val="13"/>
                <w:szCs w:val="13"/>
                <w:color w:val="auto"/>
              </w:rPr>
            </w:pPr>
          </w:p>
        </w:tc>
        <w:tc>
          <w:tcPr>
            <w:tcW w:w="506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Property and equipment, net of accumulated depreciation of $104,314</w:t>
            </w:r>
          </w:p>
        </w:tc>
        <w:tc>
          <w:tcPr>
            <w:tcW w:w="1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4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83,465</w:t>
            </w:r>
          </w:p>
        </w:tc>
        <w:tc>
          <w:tcPr>
            <w:tcW w:w="80" w:type="dxa"/>
            <w:vAlign w:val="bottom"/>
          </w:tcPr>
          <w:p>
            <w:pPr>
              <w:spacing w:after="0"/>
              <w:rPr>
                <w:sz w:val="13"/>
                <w:szCs w:val="13"/>
                <w:color w:val="auto"/>
              </w:rPr>
            </w:pPr>
          </w:p>
        </w:tc>
      </w:tr>
      <w:tr>
        <w:trPr>
          <w:trHeight w:val="161"/>
        </w:trPr>
        <w:tc>
          <w:tcPr>
            <w:tcW w:w="20" w:type="dxa"/>
            <w:vAlign w:val="bottom"/>
          </w:tcPr>
          <w:p>
            <w:pPr>
              <w:spacing w:after="0"/>
              <w:rPr>
                <w:sz w:val="14"/>
                <w:szCs w:val="14"/>
                <w:color w:val="auto"/>
              </w:rPr>
            </w:pPr>
          </w:p>
        </w:tc>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Goodwill</w:t>
            </w:r>
          </w:p>
        </w:tc>
        <w:tc>
          <w:tcPr>
            <w:tcW w:w="128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307,640</w:t>
            </w:r>
          </w:p>
        </w:tc>
        <w:tc>
          <w:tcPr>
            <w:tcW w:w="80" w:type="dxa"/>
            <w:vAlign w:val="bottom"/>
            <w:shd w:val="clear" w:color="auto" w:fill="CFF0FC"/>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4"/>
                <w:szCs w:val="14"/>
                <w:color w:val="auto"/>
              </w:rPr>
              <w:t>Intangible assets, net of accumulated amortization</w:t>
            </w:r>
          </w:p>
        </w:tc>
        <w:tc>
          <w:tcPr>
            <w:tcW w:w="1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216,192</w:t>
            </w:r>
          </w:p>
        </w:tc>
        <w:tc>
          <w:tcPr>
            <w:tcW w:w="8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Operating lease right-of-use assets, net</w:t>
            </w:r>
          </w:p>
        </w:tc>
        <w:tc>
          <w:tcPr>
            <w:tcW w:w="128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129,005</w:t>
            </w:r>
          </w:p>
        </w:tc>
        <w:tc>
          <w:tcPr>
            <w:tcW w:w="80" w:type="dxa"/>
            <w:vAlign w:val="bottom"/>
            <w:shd w:val="clear" w:color="auto" w:fill="CFF0FC"/>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4"/>
                <w:szCs w:val="14"/>
                <w:color w:val="auto"/>
              </w:rPr>
              <w:t>Other assets</w:t>
            </w:r>
          </w:p>
        </w:tc>
        <w:tc>
          <w:tcPr>
            <w:tcW w:w="12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2,894</w:t>
            </w:r>
          </w:p>
        </w:tc>
        <w:tc>
          <w:tcPr>
            <w:tcW w:w="80" w:type="dxa"/>
            <w:vAlign w:val="bottom"/>
          </w:tcPr>
          <w:p>
            <w:pPr>
              <w:spacing w:after="0"/>
              <w:rPr>
                <w:sz w:val="14"/>
                <w:szCs w:val="14"/>
                <w:color w:val="auto"/>
              </w:rPr>
            </w:pPr>
          </w:p>
        </w:tc>
      </w:tr>
      <w:tr>
        <w:trPr>
          <w:trHeight w:val="192"/>
        </w:trPr>
        <w:tc>
          <w:tcPr>
            <w:tcW w:w="20" w:type="dxa"/>
            <w:vAlign w:val="bottom"/>
          </w:tcPr>
          <w:p>
            <w:pPr>
              <w:spacing w:after="0"/>
              <w:rPr>
                <w:sz w:val="16"/>
                <w:szCs w:val="16"/>
                <w:color w:val="auto"/>
              </w:rPr>
            </w:pPr>
          </w:p>
        </w:tc>
        <w:tc>
          <w:tcPr>
            <w:tcW w:w="5060" w:type="dxa"/>
            <w:vAlign w:val="bottom"/>
            <w:shd w:val="clear" w:color="auto" w:fill="CFF0FC"/>
          </w:tcPr>
          <w:p>
            <w:pPr>
              <w:ind w:left="400"/>
              <w:spacing w:after="0" w:line="152" w:lineRule="exact"/>
              <w:rPr>
                <w:sz w:val="20"/>
                <w:szCs w:val="20"/>
                <w:color w:val="auto"/>
              </w:rPr>
            </w:pPr>
            <w:r>
              <w:rPr>
                <w:rFonts w:ascii="Times New Roman" w:cs="Times New Roman" w:eastAsia="Times New Roman" w:hAnsi="Times New Roman"/>
                <w:sz w:val="14"/>
                <w:szCs w:val="14"/>
                <w:b w:val="1"/>
                <w:bCs w:val="1"/>
                <w:color w:val="auto"/>
              </w:rPr>
              <w:t>Total assets held for sale</w:t>
            </w:r>
          </w:p>
        </w:tc>
        <w:tc>
          <w:tcPr>
            <w:tcW w:w="1740" w:type="dxa"/>
            <w:vAlign w:val="bottom"/>
            <w:gridSpan w:val="2"/>
            <w:shd w:val="clear" w:color="auto" w:fill="CFF0FC"/>
          </w:tcPr>
          <w:p>
            <w:pPr>
              <w:jc w:val="right"/>
              <w:ind w:right="400"/>
              <w:spacing w:after="0" w:line="152"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spacing w:after="0" w:line="152" w:lineRule="exact"/>
              <w:rPr>
                <w:sz w:val="20"/>
                <w:szCs w:val="20"/>
                <w:color w:val="auto"/>
              </w:rPr>
            </w:pPr>
            <w:r>
              <w:rPr>
                <w:rFonts w:ascii="Times New Roman" w:cs="Times New Roman" w:eastAsia="Times New Roman" w:hAnsi="Times New Roman"/>
                <w:sz w:val="14"/>
                <w:szCs w:val="14"/>
                <w:color w:val="auto"/>
              </w:rPr>
              <w:t>882,189</w:t>
            </w:r>
          </w:p>
        </w:tc>
        <w:tc>
          <w:tcPr>
            <w:tcW w:w="80" w:type="dxa"/>
            <w:vAlign w:val="bottom"/>
            <w:shd w:val="clear" w:color="auto" w:fill="CFF0FC"/>
          </w:tcPr>
          <w:p>
            <w:pPr>
              <w:spacing w:after="0"/>
              <w:rPr>
                <w:sz w:val="16"/>
                <w:szCs w:val="16"/>
                <w:color w:val="auto"/>
              </w:rPr>
            </w:pPr>
          </w:p>
        </w:tc>
      </w:tr>
      <w:tr>
        <w:trPr>
          <w:trHeight w:val="133"/>
        </w:trPr>
        <w:tc>
          <w:tcPr>
            <w:tcW w:w="20" w:type="dxa"/>
            <w:vAlign w:val="bottom"/>
          </w:tcPr>
          <w:p>
            <w:pPr>
              <w:spacing w:after="0"/>
              <w:rPr>
                <w:sz w:val="11"/>
                <w:szCs w:val="11"/>
                <w:color w:val="auto"/>
              </w:rPr>
            </w:pPr>
          </w:p>
        </w:tc>
        <w:tc>
          <w:tcPr>
            <w:tcW w:w="5060" w:type="dxa"/>
            <w:vAlign w:val="bottom"/>
            <w:tcBorders>
              <w:top w:val="single" w:sz="8" w:color="CFF0FC"/>
            </w:tcBorders>
          </w:tcPr>
          <w:p>
            <w:pPr>
              <w:spacing w:after="0" w:line="133"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1280" w:type="dxa"/>
            <w:vAlign w:val="bottom"/>
            <w:tcBorders>
              <w:top w:val="single" w:sz="8" w:color="CFF0FC"/>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80" w:type="dxa"/>
            <w:vAlign w:val="bottom"/>
            <w:tcBorders>
              <w:top w:val="single" w:sz="8" w:color="CFF0FC"/>
            </w:tcBorders>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Current liabilities:</w:t>
            </w:r>
          </w:p>
        </w:tc>
        <w:tc>
          <w:tcPr>
            <w:tcW w:w="128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50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Trade accounts payable</w:t>
            </w:r>
          </w:p>
        </w:tc>
        <w:tc>
          <w:tcPr>
            <w:tcW w:w="174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25,081</w:t>
            </w:r>
          </w:p>
        </w:tc>
        <w:tc>
          <w:tcPr>
            <w:tcW w:w="8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50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Accrued expenses</w:t>
            </w:r>
          </w:p>
        </w:tc>
        <w:tc>
          <w:tcPr>
            <w:tcW w:w="128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59,038</w:t>
            </w:r>
          </w:p>
        </w:tc>
        <w:tc>
          <w:tcPr>
            <w:tcW w:w="80" w:type="dxa"/>
            <w:vAlign w:val="bottom"/>
            <w:shd w:val="clear" w:color="auto" w:fill="CFF0FC"/>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50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Current portion of obligations under operating leases</w:t>
            </w:r>
          </w:p>
        </w:tc>
        <w:tc>
          <w:tcPr>
            <w:tcW w:w="1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32,749</w:t>
            </w:r>
          </w:p>
        </w:tc>
        <w:tc>
          <w:tcPr>
            <w:tcW w:w="8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50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Current portion of obligations under financing leases</w:t>
            </w:r>
          </w:p>
        </w:tc>
        <w:tc>
          <w:tcPr>
            <w:tcW w:w="1280" w:type="dxa"/>
            <w:vAlign w:val="bottom"/>
            <w:tcBorders>
              <w:bottom w:val="single" w:sz="8" w:color="CFF0FC"/>
            </w:tcBorders>
            <w:shd w:val="clear" w:color="auto" w:fill="CFF0FC"/>
          </w:tcPr>
          <w:p>
            <w:pPr>
              <w:spacing w:after="0"/>
              <w:rPr>
                <w:sz w:val="14"/>
                <w:szCs w:val="14"/>
                <w:color w:val="auto"/>
              </w:rPr>
            </w:pPr>
          </w:p>
        </w:tc>
        <w:tc>
          <w:tcPr>
            <w:tcW w:w="46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7,691</w:t>
            </w:r>
          </w:p>
        </w:tc>
        <w:tc>
          <w:tcPr>
            <w:tcW w:w="80" w:type="dxa"/>
            <w:vAlign w:val="bottom"/>
            <w:tcBorders>
              <w:bottom w:val="single" w:sz="8" w:color="CFF0FC"/>
            </w:tcBorders>
            <w:shd w:val="clear" w:color="auto" w:fill="CFF0FC"/>
          </w:tcPr>
          <w:p>
            <w:pPr>
              <w:spacing w:after="0"/>
              <w:rPr>
                <w:sz w:val="14"/>
                <w:szCs w:val="14"/>
                <w:color w:val="auto"/>
              </w:rPr>
            </w:pPr>
          </w:p>
        </w:tc>
      </w:tr>
      <w:tr>
        <w:trPr>
          <w:trHeight w:val="152"/>
        </w:trPr>
        <w:tc>
          <w:tcPr>
            <w:tcW w:w="20" w:type="dxa"/>
            <w:vAlign w:val="bottom"/>
          </w:tcPr>
          <w:p>
            <w:pPr>
              <w:spacing w:after="0"/>
              <w:rPr>
                <w:sz w:val="13"/>
                <w:szCs w:val="13"/>
                <w:color w:val="auto"/>
              </w:rPr>
            </w:pPr>
          </w:p>
        </w:tc>
        <w:tc>
          <w:tcPr>
            <w:tcW w:w="5060" w:type="dxa"/>
            <w:vAlign w:val="bottom"/>
          </w:tcPr>
          <w:p>
            <w:pPr>
              <w:ind w:left="400"/>
              <w:spacing w:after="0" w:line="152" w:lineRule="exact"/>
              <w:rPr>
                <w:sz w:val="20"/>
                <w:szCs w:val="20"/>
                <w:color w:val="auto"/>
              </w:rPr>
            </w:pPr>
            <w:r>
              <w:rPr>
                <w:rFonts w:ascii="Times New Roman" w:cs="Times New Roman" w:eastAsia="Times New Roman" w:hAnsi="Times New Roman"/>
                <w:sz w:val="14"/>
                <w:szCs w:val="14"/>
                <w:b w:val="1"/>
                <w:bCs w:val="1"/>
                <w:color w:val="auto"/>
              </w:rPr>
              <w:t>Total current liabilities held for sale</w:t>
            </w:r>
          </w:p>
        </w:tc>
        <w:tc>
          <w:tcPr>
            <w:tcW w:w="128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rPr>
              <w:t>124,559</w:t>
            </w:r>
          </w:p>
        </w:tc>
        <w:tc>
          <w:tcPr>
            <w:tcW w:w="80" w:type="dxa"/>
            <w:vAlign w:val="bottom"/>
          </w:tcPr>
          <w:p>
            <w:pPr>
              <w:spacing w:after="0"/>
              <w:rPr>
                <w:sz w:val="13"/>
                <w:szCs w:val="13"/>
                <w:color w:val="auto"/>
              </w:rPr>
            </w:pPr>
          </w:p>
        </w:tc>
      </w:tr>
      <w:tr>
        <w:trPr>
          <w:trHeight w:val="152"/>
        </w:trPr>
        <w:tc>
          <w:tcPr>
            <w:tcW w:w="20" w:type="dxa"/>
            <w:vAlign w:val="bottom"/>
          </w:tcPr>
          <w:p>
            <w:pPr>
              <w:spacing w:after="0"/>
              <w:rPr>
                <w:sz w:val="13"/>
                <w:szCs w:val="13"/>
                <w:color w:val="auto"/>
              </w:rPr>
            </w:pPr>
          </w:p>
        </w:tc>
        <w:tc>
          <w:tcPr>
            <w:tcW w:w="5060" w:type="dxa"/>
            <w:vAlign w:val="bottom"/>
            <w:shd w:val="clear" w:color="auto" w:fill="CFF0FC"/>
          </w:tcPr>
          <w:p>
            <w:pPr>
              <w:spacing w:after="0" w:line="152" w:lineRule="exact"/>
              <w:rPr>
                <w:sz w:val="20"/>
                <w:szCs w:val="20"/>
                <w:color w:val="auto"/>
              </w:rPr>
            </w:pPr>
            <w:r>
              <w:rPr>
                <w:rFonts w:ascii="Times New Roman" w:cs="Times New Roman" w:eastAsia="Times New Roman" w:hAnsi="Times New Roman"/>
                <w:sz w:val="14"/>
                <w:szCs w:val="14"/>
                <w:color w:val="auto"/>
              </w:rPr>
              <w:t>Obligations under operating leases, net of current portion</w:t>
            </w:r>
          </w:p>
        </w:tc>
        <w:tc>
          <w:tcPr>
            <w:tcW w:w="128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line="152" w:lineRule="exact"/>
              <w:rPr>
                <w:sz w:val="20"/>
                <w:szCs w:val="20"/>
                <w:color w:val="auto"/>
              </w:rPr>
            </w:pPr>
            <w:r>
              <w:rPr>
                <w:rFonts w:ascii="Times New Roman" w:cs="Times New Roman" w:eastAsia="Times New Roman" w:hAnsi="Times New Roman"/>
                <w:sz w:val="14"/>
                <w:szCs w:val="14"/>
                <w:color w:val="auto"/>
              </w:rPr>
              <w:t>57,771</w:t>
            </w:r>
          </w:p>
        </w:tc>
        <w:tc>
          <w:tcPr>
            <w:tcW w:w="80" w:type="dxa"/>
            <w:vAlign w:val="bottom"/>
            <w:shd w:val="clear" w:color="auto" w:fill="CFF0FC"/>
          </w:tcPr>
          <w:p>
            <w:pPr>
              <w:spacing w:after="0"/>
              <w:rPr>
                <w:sz w:val="13"/>
                <w:szCs w:val="13"/>
                <w:color w:val="auto"/>
              </w:rPr>
            </w:pPr>
          </w:p>
        </w:tc>
      </w:tr>
      <w:tr>
        <w:trPr>
          <w:trHeight w:val="161"/>
        </w:trPr>
        <w:tc>
          <w:tcPr>
            <w:tcW w:w="20" w:type="dxa"/>
            <w:vAlign w:val="bottom"/>
          </w:tcPr>
          <w:p>
            <w:pPr>
              <w:spacing w:after="0"/>
              <w:rPr>
                <w:sz w:val="14"/>
                <w:szCs w:val="14"/>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4"/>
                <w:szCs w:val="14"/>
                <w:color w:val="auto"/>
              </w:rPr>
              <w:t>Obligations under financing leases, net of current portion</w:t>
            </w:r>
          </w:p>
        </w:tc>
        <w:tc>
          <w:tcPr>
            <w:tcW w:w="1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12,766</w:t>
            </w:r>
          </w:p>
        </w:tc>
        <w:tc>
          <w:tcPr>
            <w:tcW w:w="8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Deferred income taxes, net</w:t>
            </w:r>
          </w:p>
        </w:tc>
        <w:tc>
          <w:tcPr>
            <w:tcW w:w="128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390</w:t>
            </w:r>
          </w:p>
        </w:tc>
        <w:tc>
          <w:tcPr>
            <w:tcW w:w="80" w:type="dxa"/>
            <w:vAlign w:val="bottom"/>
            <w:shd w:val="clear" w:color="auto" w:fill="CFF0FC"/>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4"/>
                <w:szCs w:val="14"/>
                <w:color w:val="auto"/>
              </w:rPr>
              <w:t>Long-term liabilities</w:t>
            </w:r>
          </w:p>
        </w:tc>
        <w:tc>
          <w:tcPr>
            <w:tcW w:w="12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508</w:t>
            </w:r>
          </w:p>
        </w:tc>
        <w:tc>
          <w:tcPr>
            <w:tcW w:w="8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060" w:type="dxa"/>
            <w:vAlign w:val="bottom"/>
            <w:shd w:val="clear" w:color="auto" w:fill="CFF0FC"/>
          </w:tcPr>
          <w:p>
            <w:pPr>
              <w:ind w:left="400"/>
              <w:spacing w:after="0" w:line="152" w:lineRule="exact"/>
              <w:rPr>
                <w:sz w:val="20"/>
                <w:szCs w:val="20"/>
                <w:color w:val="auto"/>
              </w:rPr>
            </w:pPr>
            <w:r>
              <w:rPr>
                <w:rFonts w:ascii="Times New Roman" w:cs="Times New Roman" w:eastAsia="Times New Roman" w:hAnsi="Times New Roman"/>
                <w:sz w:val="14"/>
                <w:szCs w:val="14"/>
                <w:b w:val="1"/>
                <w:bCs w:val="1"/>
                <w:color w:val="auto"/>
              </w:rPr>
              <w:t>Total liabilities held for sale</w:t>
            </w:r>
          </w:p>
        </w:tc>
        <w:tc>
          <w:tcPr>
            <w:tcW w:w="1740" w:type="dxa"/>
            <w:vAlign w:val="bottom"/>
            <w:gridSpan w:val="2"/>
            <w:shd w:val="clear" w:color="auto" w:fill="CFF0FC"/>
          </w:tcPr>
          <w:p>
            <w:pPr>
              <w:jc w:val="right"/>
              <w:ind w:right="400"/>
              <w:spacing w:after="0" w:line="152"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spacing w:after="0" w:line="152" w:lineRule="exact"/>
              <w:rPr>
                <w:sz w:val="20"/>
                <w:szCs w:val="20"/>
                <w:color w:val="auto"/>
              </w:rPr>
            </w:pPr>
            <w:r>
              <w:rPr>
                <w:rFonts w:ascii="Times New Roman" w:cs="Times New Roman" w:eastAsia="Times New Roman" w:hAnsi="Times New Roman"/>
                <w:sz w:val="14"/>
                <w:szCs w:val="14"/>
                <w:color w:val="auto"/>
              </w:rPr>
              <w:t>195,994</w:t>
            </w:r>
          </w:p>
        </w:tc>
        <w:tc>
          <w:tcPr>
            <w:tcW w:w="80" w:type="dxa"/>
            <w:vAlign w:val="bottom"/>
            <w:shd w:val="clear" w:color="auto" w:fill="CFF0FC"/>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Borders>
              <w:top w:val="single" w:sz="8" w:color="CFF0FC"/>
            </w:tcBorders>
            <w:shd w:val="clear" w:color="auto" w:fill="CFF0FC"/>
          </w:tcPr>
          <w:p>
            <w:pPr>
              <w:spacing w:after="0" w:line="20" w:lineRule="exact"/>
              <w:rPr>
                <w:sz w:val="1"/>
                <w:szCs w:val="1"/>
                <w:color w:val="auto"/>
              </w:rPr>
            </w:pPr>
          </w:p>
        </w:tc>
        <w:tc>
          <w:tcPr>
            <w:tcW w:w="128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5267325</wp:posOffset>
            </wp:positionH>
            <wp:positionV relativeFrom="paragraph">
              <wp:posOffset>-1915795</wp:posOffset>
            </wp:positionV>
            <wp:extent cx="47625" cy="698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-1288415</wp:posOffset>
            </wp:positionV>
            <wp:extent cx="47625" cy="698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-1274445</wp:posOffset>
            </wp:positionV>
            <wp:extent cx="47625" cy="69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-654050</wp:posOffset>
            </wp:positionV>
            <wp:extent cx="47625" cy="698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-19685</wp:posOffset>
            </wp:positionV>
            <wp:extent cx="47625" cy="698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-6350</wp:posOffset>
            </wp:positionV>
            <wp:extent cx="47625" cy="69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51" w:lineRule="exact"/>
        <w:rPr>
          <w:sz w:val="20"/>
          <w:szCs w:val="20"/>
          <w:color w:val="auto"/>
        </w:rPr>
      </w:pPr>
    </w:p>
    <w:p>
      <w:pPr>
        <w:ind w:left="640" w:right="779"/>
        <w:spacing w:after="0" w:line="292" w:lineRule="auto"/>
        <w:rPr>
          <w:sz w:val="20"/>
          <w:szCs w:val="20"/>
          <w:color w:val="auto"/>
        </w:rPr>
      </w:pPr>
      <w:r>
        <w:rPr>
          <w:rFonts w:ascii="Times New Roman" w:cs="Times New Roman" w:eastAsia="Times New Roman" w:hAnsi="Times New Roman"/>
          <w:sz w:val="14"/>
          <w:szCs w:val="14"/>
          <w:color w:val="auto"/>
        </w:rPr>
        <w:t>The following table presents the significant non-cash items and purchases of property and equipment for the discontinued operations that are included in the accompanying unaudited condensed consolidated statements of cash flows (in thousands):</w:t>
      </w:r>
    </w:p>
    <w:p>
      <w:pPr>
        <w:spacing w:after="0" w:line="119" w:lineRule="exact"/>
        <w:rPr>
          <w:sz w:val="20"/>
          <w:szCs w:val="20"/>
          <w:color w:val="auto"/>
        </w:rPr>
      </w:pPr>
    </w:p>
    <w:p>
      <w:pPr>
        <w:jc w:val="center"/>
        <w:ind w:left="5320"/>
        <w:spacing w:after="0"/>
        <w:rPr>
          <w:sz w:val="20"/>
          <w:szCs w:val="20"/>
          <w:color w:val="auto"/>
        </w:rPr>
      </w:pPr>
      <w:r>
        <w:rPr>
          <w:rFonts w:ascii="Times New Roman" w:cs="Times New Roman" w:eastAsia="Times New Roman" w:hAnsi="Times New Roman"/>
          <w:sz w:val="11"/>
          <w:szCs w:val="11"/>
          <w:b w:val="1"/>
          <w:bCs w:val="1"/>
          <w:color w:val="auto"/>
        </w:rPr>
        <w:t>For the Nine Months Ended</w:t>
      </w:r>
    </w:p>
    <w:p>
      <w:pPr>
        <w:spacing w:after="0" w:line="3" w:lineRule="exact"/>
        <w:rPr>
          <w:sz w:val="20"/>
          <w:szCs w:val="20"/>
          <w:color w:val="auto"/>
        </w:rPr>
      </w:pPr>
    </w:p>
    <w:p>
      <w:pPr>
        <w:jc w:val="center"/>
        <w:ind w:left="5320"/>
        <w:spacing w:after="0"/>
        <w:rPr>
          <w:sz w:val="20"/>
          <w:szCs w:val="20"/>
          <w:color w:val="auto"/>
        </w:rPr>
      </w:pPr>
      <w:r>
        <w:rPr>
          <w:rFonts w:ascii="Times New Roman" w:cs="Times New Roman" w:eastAsia="Times New Roman" w:hAnsi="Times New Roman"/>
          <w:sz w:val="11"/>
          <w:szCs w:val="11"/>
          <w:b w:val="1"/>
          <w:bCs w:val="1"/>
          <w:color w:val="auto"/>
        </w:rPr>
        <w:t>September 30,</w:t>
      </w:r>
    </w:p>
    <w:tbl>
      <w:tblPr>
        <w:tblLayout w:type="fixed"/>
        <w:tblInd w:w="640" w:type="dxa"/>
        <w:tblCellMar>
          <w:top w:w="0" w:type="dxa"/>
          <w:left w:w="0" w:type="dxa"/>
          <w:bottom w:w="0" w:type="dxa"/>
          <w:right w:w="0" w:type="dxa"/>
        </w:tblCellMar>
      </w:tblPr>
      <w:tr>
        <w:trPr>
          <w:trHeight w:val="109"/>
        </w:trPr>
        <w:tc>
          <w:tcPr>
            <w:tcW w:w="20" w:type="dxa"/>
            <w:vAlign w:val="bottom"/>
          </w:tcPr>
          <w:p>
            <w:pPr>
              <w:spacing w:after="0"/>
              <w:rPr>
                <w:sz w:val="9"/>
                <w:szCs w:val="9"/>
                <w:color w:val="auto"/>
              </w:rPr>
            </w:pPr>
          </w:p>
        </w:tc>
        <w:tc>
          <w:tcPr>
            <w:tcW w:w="45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Borders>
              <w:top w:val="single" w:sz="8" w:color="auto"/>
              <w:bottom w:val="single" w:sz="8" w:color="auto"/>
            </w:tcBorders>
          </w:tcPr>
          <w:p>
            <w:pPr>
              <w:spacing w:after="0"/>
              <w:rPr>
                <w:sz w:val="9"/>
                <w:szCs w:val="9"/>
                <w:color w:val="auto"/>
              </w:rPr>
            </w:pPr>
          </w:p>
        </w:tc>
        <w:tc>
          <w:tcPr>
            <w:tcW w:w="800" w:type="dxa"/>
            <w:vAlign w:val="bottom"/>
            <w:tcBorders>
              <w:top w:val="single" w:sz="8" w:color="auto"/>
              <w:bottom w:val="single" w:sz="8" w:color="auto"/>
            </w:tcBorders>
          </w:tcPr>
          <w:p>
            <w:pPr>
              <w:jc w:val="right"/>
              <w:ind w:right="331"/>
              <w:spacing w:after="0" w:line="109" w:lineRule="exact"/>
              <w:rPr>
                <w:sz w:val="20"/>
                <w:szCs w:val="20"/>
                <w:color w:val="auto"/>
              </w:rPr>
            </w:pPr>
            <w:r>
              <w:rPr>
                <w:rFonts w:ascii="Times New Roman" w:cs="Times New Roman" w:eastAsia="Times New Roman" w:hAnsi="Times New Roman"/>
                <w:sz w:val="11"/>
                <w:szCs w:val="11"/>
                <w:b w:val="1"/>
                <w:bCs w:val="1"/>
                <w:color w:val="auto"/>
              </w:rPr>
              <w:t>2026</w:t>
            </w:r>
          </w:p>
        </w:tc>
        <w:tc>
          <w:tcPr>
            <w:tcW w:w="180" w:type="dxa"/>
            <w:vAlign w:val="bottom"/>
            <w:tcBorders>
              <w:top w:val="single" w:sz="8" w:color="auto"/>
            </w:tcBorders>
          </w:tcPr>
          <w:p>
            <w:pPr>
              <w:spacing w:after="0"/>
              <w:rPr>
                <w:sz w:val="9"/>
                <w:szCs w:val="9"/>
                <w:color w:val="auto"/>
              </w:rPr>
            </w:pPr>
          </w:p>
        </w:tc>
        <w:tc>
          <w:tcPr>
            <w:tcW w:w="240" w:type="dxa"/>
            <w:vAlign w:val="bottom"/>
            <w:tcBorders>
              <w:top w:val="single" w:sz="8" w:color="auto"/>
              <w:bottom w:val="single" w:sz="8" w:color="auto"/>
            </w:tcBorders>
          </w:tcPr>
          <w:p>
            <w:pPr>
              <w:spacing w:after="0"/>
              <w:rPr>
                <w:sz w:val="9"/>
                <w:szCs w:val="9"/>
                <w:color w:val="auto"/>
              </w:rPr>
            </w:pPr>
          </w:p>
        </w:tc>
        <w:tc>
          <w:tcPr>
            <w:tcW w:w="800" w:type="dxa"/>
            <w:vAlign w:val="bottom"/>
            <w:tcBorders>
              <w:top w:val="single" w:sz="8" w:color="auto"/>
              <w:bottom w:val="single" w:sz="8" w:color="auto"/>
            </w:tcBorders>
          </w:tcPr>
          <w:p>
            <w:pPr>
              <w:jc w:val="right"/>
              <w:ind w:right="351"/>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Cash flows from operating activities of discontinued operations:</w:t>
            </w:r>
          </w:p>
        </w:tc>
        <w:tc>
          <w:tcPr>
            <w:tcW w:w="8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3"/>
          </w:tcPr>
          <w:p>
            <w:pPr>
              <w:ind w:left="640"/>
              <w:spacing w:after="0"/>
              <w:rPr>
                <w:sz w:val="20"/>
                <w:szCs w:val="20"/>
                <w:color w:val="auto"/>
              </w:rPr>
            </w:pPr>
            <w:r>
              <w:rPr>
                <w:rFonts w:ascii="Times New Roman" w:cs="Times New Roman" w:eastAsia="Times New Roman" w:hAnsi="Times New Roman"/>
                <w:sz w:val="14"/>
                <w:szCs w:val="14"/>
                <w:color w:val="auto"/>
              </w:rPr>
              <w:t>—   $</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5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Share-based compensation</w:t>
            </w:r>
          </w:p>
        </w:tc>
        <w:tc>
          <w:tcPr>
            <w:tcW w:w="8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(9,296)</w:t>
            </w:r>
          </w:p>
        </w:tc>
        <w:tc>
          <w:tcPr>
            <w:tcW w:w="24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9,578</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Gain on sale of discontinued operations</w:t>
            </w: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(101,845)</w:t>
            </w:r>
          </w:p>
        </w:tc>
        <w:tc>
          <w:tcPr>
            <w:tcW w:w="24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45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4"/>
                <w:szCs w:val="14"/>
                <w:color w:val="auto"/>
              </w:rPr>
              <w:t>Cash flows used in investing activities of discontinued operations:</w:t>
            </w: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5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8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3,085</w:t>
            </w:r>
          </w:p>
        </w:tc>
        <w:tc>
          <w:tcPr>
            <w:tcW w:w="1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8,755</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3. Revenue</w:t>
      </w:r>
    </w:p>
    <w:p>
      <w:pPr>
        <w:spacing w:after="0" w:line="185" w:lineRule="exact"/>
        <w:rPr>
          <w:sz w:val="20"/>
          <w:szCs w:val="20"/>
          <w:color w:val="auto"/>
        </w:rPr>
      </w:pPr>
    </w:p>
    <w:p>
      <w:pPr>
        <w:ind w:left="640" w:right="679"/>
        <w:spacing w:after="0" w:line="268" w:lineRule="auto"/>
        <w:rPr>
          <w:sz w:val="20"/>
          <w:szCs w:val="20"/>
          <w:color w:val="auto"/>
        </w:rPr>
      </w:pPr>
      <w:r>
        <w:rPr>
          <w:rFonts w:ascii="Times New Roman" w:cs="Times New Roman" w:eastAsia="Times New Roman" w:hAnsi="Times New Roman"/>
          <w:sz w:val="14"/>
          <w:szCs w:val="14"/>
          <w:color w:val="auto"/>
        </w:rPr>
        <w:t>The Company is substantially dependent on revenues received under contracts with federal, state, and local government agencies. Operating funding sources are generally earned from Medicaid, Medicare, commercial insurance reimbursement, and from private and other payors. There is no single customer whose revenue was 10% or more of our consolidated revenue during the periods presented. The following tables set forth revenue by payor type (in millions):</w:t>
      </w: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70" w:right="1440" w:bottom="1440" w:gutter="0" w:footer="0" w:header="0"/>
        </w:sectPr>
      </w:pPr>
    </w:p>
    <w:bookmarkStart w:id="16" w:name="page17"/>
    <w:bookmarkEnd w:id="16"/>
    <w:tbl>
      <w:tblPr>
        <w:tblLayout w:type="fixed"/>
        <w:tblInd w:w="640" w:type="dxa"/>
        <w:tblCellMar>
          <w:top w:w="0" w:type="dxa"/>
          <w:left w:w="0" w:type="dxa"/>
          <w:bottom w:w="0" w:type="dxa"/>
          <w:right w:w="0" w:type="dxa"/>
        </w:tblCellMar>
      </w:tblPr>
      <w:tr>
        <w:trPr>
          <w:trHeight w:val="137"/>
        </w:trPr>
        <w:tc>
          <w:tcPr>
            <w:tcW w:w="19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gridSpan w:val="5"/>
          </w:tcPr>
          <w:p>
            <w:pPr>
              <w:jc w:val="center"/>
              <w:ind w:right="380"/>
              <w:spacing w:after="0"/>
              <w:rPr>
                <w:sz w:val="20"/>
                <w:szCs w:val="20"/>
                <w:color w:val="auto"/>
              </w:rPr>
            </w:pPr>
            <w:r>
              <w:rPr>
                <w:rFonts w:ascii="Times New Roman" w:cs="Times New Roman" w:eastAsia="Times New Roman" w:hAnsi="Times New Roman"/>
                <w:sz w:val="11"/>
                <w:szCs w:val="11"/>
                <w:b w:val="1"/>
                <w:bCs w:val="1"/>
                <w:color w:val="auto"/>
              </w:rPr>
              <w:t>Pharmacy Solutions</w:t>
            </w:r>
          </w:p>
        </w:tc>
        <w:tc>
          <w:tcPr>
            <w:tcW w:w="4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900" w:type="dxa"/>
            <w:vAlign w:val="bottom"/>
          </w:tcPr>
          <w:p>
            <w:pPr>
              <w:spacing w:after="0"/>
              <w:rPr>
                <w:sz w:val="9"/>
                <w:szCs w:val="9"/>
                <w:color w:val="auto"/>
              </w:rPr>
            </w:pPr>
          </w:p>
        </w:tc>
        <w:tc>
          <w:tcPr>
            <w:tcW w:w="80" w:type="dxa"/>
            <w:vAlign w:val="bottom"/>
          </w:tcPr>
          <w:p>
            <w:pPr>
              <w:spacing w:after="0"/>
              <w:rPr>
                <w:sz w:val="9"/>
                <w:szCs w:val="9"/>
                <w:color w:val="auto"/>
              </w:rPr>
            </w:pPr>
          </w:p>
        </w:tc>
        <w:tc>
          <w:tcPr>
            <w:tcW w:w="2900" w:type="dxa"/>
            <w:vAlign w:val="bottom"/>
            <w:gridSpan w:val="10"/>
          </w:tcPr>
          <w:p>
            <w:pPr>
              <w:jc w:val="right"/>
              <w:ind w:right="520"/>
              <w:spacing w:after="0" w:line="109" w:lineRule="exact"/>
              <w:rPr>
                <w:sz w:val="20"/>
                <w:szCs w:val="20"/>
                <w:color w:val="auto"/>
              </w:rPr>
            </w:pPr>
            <w:r>
              <w:rPr>
                <w:rFonts w:ascii="Times New Roman" w:cs="Times New Roman" w:eastAsia="Times New Roman" w:hAnsi="Times New Roman"/>
                <w:sz w:val="11"/>
                <w:szCs w:val="11"/>
                <w:b w:val="1"/>
                <w:bCs w:val="1"/>
                <w:color w:val="auto"/>
              </w:rPr>
              <w:t>For the Three Months Ended September 30,</w:t>
            </w:r>
          </w:p>
        </w:tc>
        <w:tc>
          <w:tcPr>
            <w:tcW w:w="80" w:type="dxa"/>
            <w:vAlign w:val="bottom"/>
          </w:tcPr>
          <w:p>
            <w:pPr>
              <w:spacing w:after="0"/>
              <w:rPr>
                <w:sz w:val="9"/>
                <w:szCs w:val="9"/>
                <w:color w:val="auto"/>
              </w:rPr>
            </w:pPr>
          </w:p>
        </w:tc>
        <w:tc>
          <w:tcPr>
            <w:tcW w:w="2640" w:type="dxa"/>
            <w:vAlign w:val="bottom"/>
            <w:gridSpan w:val="7"/>
          </w:tcPr>
          <w:p>
            <w:pPr>
              <w:ind w:left="220"/>
              <w:spacing w:after="0" w:line="109" w:lineRule="exact"/>
              <w:rPr>
                <w:sz w:val="20"/>
                <w:szCs w:val="20"/>
                <w:color w:val="auto"/>
              </w:rPr>
            </w:pPr>
            <w:r>
              <w:rPr>
                <w:rFonts w:ascii="Times New Roman" w:cs="Times New Roman" w:eastAsia="Times New Roman" w:hAnsi="Times New Roman"/>
                <w:sz w:val="11"/>
                <w:szCs w:val="11"/>
                <w:b w:val="1"/>
                <w:bCs w:val="1"/>
                <w:color w:val="auto"/>
              </w:rPr>
              <w:t>For the Nine Months Ended September 30,</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19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00" w:type="dxa"/>
            <w:vAlign w:val="bottom"/>
            <w:tcBorders>
              <w:top w:val="single" w:sz="8" w:color="auto"/>
            </w:tcBorders>
            <w:gridSpan w:val="2"/>
          </w:tcPr>
          <w:p>
            <w:pPr>
              <w:jc w:val="right"/>
              <w:ind w:right="40"/>
              <w:spacing w:after="0" w:line="109" w:lineRule="exact"/>
              <w:rPr>
                <w:sz w:val="20"/>
                <w:szCs w:val="20"/>
                <w:color w:val="auto"/>
              </w:rPr>
            </w:pPr>
            <w:r>
              <w:rPr>
                <w:rFonts w:ascii="Times New Roman" w:cs="Times New Roman" w:eastAsia="Times New Roman" w:hAnsi="Times New Roman"/>
                <w:sz w:val="11"/>
                <w:szCs w:val="11"/>
                <w:b w:val="1"/>
                <w:bCs w:val="1"/>
                <w:color w:val="auto"/>
              </w:rPr>
              <w:t>2026</w:t>
            </w:r>
          </w:p>
        </w:tc>
        <w:tc>
          <w:tcPr>
            <w:tcW w:w="48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60" w:type="dxa"/>
            <w:vAlign w:val="bottom"/>
            <w:tcBorders>
              <w:top w:val="single" w:sz="8" w:color="auto"/>
            </w:tcBorders>
            <w:gridSpan w:val="2"/>
          </w:tcPr>
          <w:p>
            <w:pPr>
              <w:jc w:val="right"/>
              <w:ind w:right="40"/>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48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20" w:type="dxa"/>
            <w:vAlign w:val="bottom"/>
            <w:tcBorders>
              <w:top w:val="single" w:sz="8" w:color="auto"/>
            </w:tcBorders>
            <w:gridSpan w:val="2"/>
          </w:tcPr>
          <w:p>
            <w:pPr>
              <w:jc w:val="right"/>
              <w:ind w:right="20"/>
              <w:spacing w:after="0" w:line="109" w:lineRule="exact"/>
              <w:rPr>
                <w:sz w:val="20"/>
                <w:szCs w:val="20"/>
                <w:color w:val="auto"/>
              </w:rPr>
            </w:pPr>
            <w:r>
              <w:rPr>
                <w:rFonts w:ascii="Times New Roman" w:cs="Times New Roman" w:eastAsia="Times New Roman" w:hAnsi="Times New Roman"/>
                <w:sz w:val="11"/>
                <w:szCs w:val="11"/>
                <w:b w:val="1"/>
                <w:bCs w:val="1"/>
                <w:color w:val="auto"/>
              </w:rPr>
              <w:t>2026</w:t>
            </w:r>
          </w:p>
        </w:tc>
        <w:tc>
          <w:tcPr>
            <w:tcW w:w="48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680" w:type="dxa"/>
            <w:vAlign w:val="bottom"/>
            <w:tcBorders>
              <w:top w:val="single" w:sz="8" w:color="auto"/>
            </w:tcBorders>
            <w:gridSpan w:val="2"/>
          </w:tcPr>
          <w:p>
            <w:pPr>
              <w:jc w:val="right"/>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48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190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50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1"/>
                <w:szCs w:val="11"/>
                <w:b w:val="1"/>
                <w:bCs w:val="1"/>
                <w:color w:val="auto"/>
              </w:rPr>
              <w:t>Revenue</w:t>
            </w:r>
          </w:p>
        </w:tc>
        <w:tc>
          <w:tcPr>
            <w:tcW w:w="200" w:type="dxa"/>
            <w:vAlign w:val="bottom"/>
            <w:tcBorders>
              <w:top w:val="single" w:sz="8" w:color="auto"/>
            </w:tcBorders>
            <w:vMerge w:val="restart"/>
          </w:tcPr>
          <w:p>
            <w:pPr>
              <w:spacing w:after="0"/>
              <w:rPr>
                <w:sz w:val="7"/>
                <w:szCs w:val="7"/>
                <w:color w:val="auto"/>
              </w:rPr>
            </w:pPr>
          </w:p>
        </w:tc>
        <w:tc>
          <w:tcPr>
            <w:tcW w:w="480" w:type="dxa"/>
            <w:vAlign w:val="bottom"/>
            <w:tcBorders>
              <w:top w:val="single" w:sz="8" w:color="auto"/>
            </w:tcBorders>
          </w:tcPr>
          <w:p>
            <w:pPr>
              <w:jc w:val="center"/>
              <w:spacing w:after="0" w:line="90" w:lineRule="exact"/>
              <w:rPr>
                <w:sz w:val="20"/>
                <w:szCs w:val="20"/>
                <w:color w:val="auto"/>
              </w:rPr>
            </w:pPr>
            <w:r>
              <w:rPr>
                <w:rFonts w:ascii="Times New Roman" w:cs="Times New Roman" w:eastAsia="Times New Roman" w:hAnsi="Times New Roman"/>
                <w:sz w:val="10"/>
                <w:szCs w:val="10"/>
                <w:b w:val="1"/>
                <w:bCs w:val="1"/>
                <w:color w:val="auto"/>
              </w:rPr>
              <w:t>% of</w:t>
            </w: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Revenue</w:t>
            </w:r>
          </w:p>
        </w:tc>
        <w:tc>
          <w:tcPr>
            <w:tcW w:w="200" w:type="dxa"/>
            <w:vAlign w:val="bottom"/>
            <w:tcBorders>
              <w:top w:val="single" w:sz="8" w:color="auto"/>
            </w:tcBorders>
            <w:vMerge w:val="restart"/>
          </w:tcPr>
          <w:p>
            <w:pPr>
              <w:spacing w:after="0"/>
              <w:rPr>
                <w:sz w:val="7"/>
                <w:szCs w:val="7"/>
                <w:color w:val="auto"/>
              </w:rPr>
            </w:pPr>
          </w:p>
        </w:tc>
        <w:tc>
          <w:tcPr>
            <w:tcW w:w="480" w:type="dxa"/>
            <w:vAlign w:val="bottom"/>
            <w:tcBorders>
              <w:top w:val="single" w:sz="8" w:color="auto"/>
            </w:tcBorders>
          </w:tcPr>
          <w:p>
            <w:pPr>
              <w:jc w:val="center"/>
              <w:ind w:right="13"/>
              <w:spacing w:after="0" w:line="90" w:lineRule="exact"/>
              <w:rPr>
                <w:sz w:val="20"/>
                <w:szCs w:val="20"/>
                <w:color w:val="auto"/>
              </w:rPr>
            </w:pPr>
            <w:r>
              <w:rPr>
                <w:rFonts w:ascii="Times New Roman" w:cs="Times New Roman" w:eastAsia="Times New Roman" w:hAnsi="Times New Roman"/>
                <w:sz w:val="10"/>
                <w:szCs w:val="10"/>
                <w:b w:val="1"/>
                <w:bCs w:val="1"/>
                <w:color w:val="auto"/>
              </w:rPr>
              <w:t>% of</w:t>
            </w:r>
          </w:p>
        </w:tc>
        <w:tc>
          <w:tcPr>
            <w:tcW w:w="22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5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Revenue</w:t>
            </w:r>
          </w:p>
        </w:tc>
        <w:tc>
          <w:tcPr>
            <w:tcW w:w="200" w:type="dxa"/>
            <w:vAlign w:val="bottom"/>
            <w:tcBorders>
              <w:top w:val="single" w:sz="8" w:color="auto"/>
            </w:tcBorders>
            <w:vMerge w:val="restart"/>
          </w:tcPr>
          <w:p>
            <w:pPr>
              <w:spacing w:after="0"/>
              <w:rPr>
                <w:sz w:val="7"/>
                <w:szCs w:val="7"/>
                <w:color w:val="auto"/>
              </w:rPr>
            </w:pPr>
          </w:p>
        </w:tc>
        <w:tc>
          <w:tcPr>
            <w:tcW w:w="480" w:type="dxa"/>
            <w:vAlign w:val="bottom"/>
            <w:tcBorders>
              <w:top w:val="single" w:sz="8" w:color="auto"/>
            </w:tcBorders>
          </w:tcPr>
          <w:p>
            <w:pPr>
              <w:jc w:val="center"/>
              <w:spacing w:after="0" w:line="90" w:lineRule="exact"/>
              <w:rPr>
                <w:sz w:val="20"/>
                <w:szCs w:val="20"/>
                <w:color w:val="auto"/>
              </w:rPr>
            </w:pPr>
            <w:r>
              <w:rPr>
                <w:rFonts w:ascii="Times New Roman" w:cs="Times New Roman" w:eastAsia="Times New Roman" w:hAnsi="Times New Roman"/>
                <w:sz w:val="10"/>
                <w:szCs w:val="10"/>
                <w:b w:val="1"/>
                <w:bCs w:val="1"/>
                <w:color w:val="auto"/>
              </w:rPr>
              <w:t>% of</w:t>
            </w:r>
          </w:p>
        </w:tc>
        <w:tc>
          <w:tcPr>
            <w:tcW w:w="280" w:type="dxa"/>
            <w:vAlign w:val="bottom"/>
          </w:tcPr>
          <w:p>
            <w:pPr>
              <w:spacing w:after="0"/>
              <w:rPr>
                <w:sz w:val="7"/>
                <w:szCs w:val="7"/>
                <w:color w:val="auto"/>
              </w:rPr>
            </w:pPr>
          </w:p>
        </w:tc>
        <w:tc>
          <w:tcPr>
            <w:tcW w:w="5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Revenue</w:t>
            </w:r>
          </w:p>
        </w:tc>
        <w:tc>
          <w:tcPr>
            <w:tcW w:w="160" w:type="dxa"/>
            <w:vAlign w:val="bottom"/>
            <w:tcBorders>
              <w:top w:val="single" w:sz="8" w:color="auto"/>
            </w:tcBorders>
            <w:vMerge w:val="restart"/>
          </w:tcPr>
          <w:p>
            <w:pPr>
              <w:spacing w:after="0"/>
              <w:rPr>
                <w:sz w:val="7"/>
                <w:szCs w:val="7"/>
                <w:color w:val="auto"/>
              </w:rPr>
            </w:pPr>
          </w:p>
        </w:tc>
        <w:tc>
          <w:tcPr>
            <w:tcW w:w="480" w:type="dxa"/>
            <w:vAlign w:val="bottom"/>
            <w:tcBorders>
              <w:top w:val="single" w:sz="8" w:color="auto"/>
            </w:tcBorders>
          </w:tcPr>
          <w:p>
            <w:pPr>
              <w:jc w:val="center"/>
              <w:spacing w:after="0" w:line="90" w:lineRule="exact"/>
              <w:rPr>
                <w:sz w:val="20"/>
                <w:szCs w:val="20"/>
                <w:color w:val="auto"/>
              </w:rPr>
            </w:pPr>
            <w:r>
              <w:rPr>
                <w:rFonts w:ascii="Times New Roman" w:cs="Times New Roman" w:eastAsia="Times New Roman" w:hAnsi="Times New Roman"/>
                <w:sz w:val="10"/>
                <w:szCs w:val="10"/>
                <w:b w:val="1"/>
                <w:bCs w:val="1"/>
                <w:color w:val="auto"/>
              </w:rPr>
              <w:t>% of</w:t>
            </w: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7"/>
        </w:trPr>
        <w:tc>
          <w:tcPr>
            <w:tcW w:w="19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vMerge w:val="continue"/>
          </w:tcPr>
          <w:p>
            <w:pPr>
              <w:spacing w:after="0"/>
              <w:rPr>
                <w:sz w:val="11"/>
                <w:szCs w:val="11"/>
                <w:color w:val="auto"/>
              </w:rPr>
            </w:pPr>
          </w:p>
        </w:tc>
        <w:tc>
          <w:tcPr>
            <w:tcW w:w="200" w:type="dxa"/>
            <w:vAlign w:val="bottom"/>
            <w:vMerge w:val="continue"/>
          </w:tcPr>
          <w:p>
            <w:pPr>
              <w:spacing w:after="0"/>
              <w:rPr>
                <w:sz w:val="11"/>
                <w:szCs w:val="11"/>
                <w:color w:val="auto"/>
              </w:rPr>
            </w:pPr>
          </w:p>
        </w:tc>
        <w:tc>
          <w:tcPr>
            <w:tcW w:w="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Revenue</w:t>
            </w:r>
          </w:p>
        </w:tc>
        <w:tc>
          <w:tcPr>
            <w:tcW w:w="240" w:type="dxa"/>
            <w:vAlign w:val="bottom"/>
            <w:gridSpan w:val="2"/>
          </w:tcPr>
          <w:p>
            <w:pPr>
              <w:spacing w:after="0"/>
              <w:rPr>
                <w:sz w:val="11"/>
                <w:szCs w:val="11"/>
                <w:color w:val="auto"/>
              </w:rPr>
            </w:pPr>
          </w:p>
        </w:tc>
        <w:tc>
          <w:tcPr>
            <w:tcW w:w="580" w:type="dxa"/>
            <w:vAlign w:val="bottom"/>
            <w:tcBorders>
              <w:bottom w:val="single" w:sz="8" w:color="auto"/>
            </w:tcBorders>
            <w:gridSpan w:val="2"/>
            <w:vMerge w:val="continue"/>
          </w:tcPr>
          <w:p>
            <w:pPr>
              <w:spacing w:after="0"/>
              <w:rPr>
                <w:sz w:val="11"/>
                <w:szCs w:val="11"/>
                <w:color w:val="auto"/>
              </w:rPr>
            </w:pPr>
          </w:p>
        </w:tc>
        <w:tc>
          <w:tcPr>
            <w:tcW w:w="200" w:type="dxa"/>
            <w:vAlign w:val="bottom"/>
            <w:vMerge w:val="continue"/>
          </w:tcPr>
          <w:p>
            <w:pPr>
              <w:spacing w:after="0"/>
              <w:rPr>
                <w:sz w:val="11"/>
                <w:szCs w:val="11"/>
                <w:color w:val="auto"/>
              </w:rPr>
            </w:pPr>
          </w:p>
        </w:tc>
        <w:tc>
          <w:tcPr>
            <w:tcW w:w="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Revenue</w:t>
            </w: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vMerge w:val="continue"/>
          </w:tcPr>
          <w:p>
            <w:pPr>
              <w:spacing w:after="0"/>
              <w:rPr>
                <w:sz w:val="11"/>
                <w:szCs w:val="11"/>
                <w:color w:val="auto"/>
              </w:rPr>
            </w:pPr>
          </w:p>
        </w:tc>
        <w:tc>
          <w:tcPr>
            <w:tcW w:w="200" w:type="dxa"/>
            <w:vAlign w:val="bottom"/>
            <w:vMerge w:val="continue"/>
          </w:tcPr>
          <w:p>
            <w:pPr>
              <w:spacing w:after="0"/>
              <w:rPr>
                <w:sz w:val="11"/>
                <w:szCs w:val="11"/>
                <w:color w:val="auto"/>
              </w:rPr>
            </w:pPr>
          </w:p>
        </w:tc>
        <w:tc>
          <w:tcPr>
            <w:tcW w:w="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Revenue</w:t>
            </w:r>
          </w:p>
        </w:tc>
        <w:tc>
          <w:tcPr>
            <w:tcW w:w="280" w:type="dxa"/>
            <w:vAlign w:val="bottom"/>
          </w:tcPr>
          <w:p>
            <w:pPr>
              <w:spacing w:after="0"/>
              <w:rPr>
                <w:sz w:val="11"/>
                <w:szCs w:val="11"/>
                <w:color w:val="auto"/>
              </w:rPr>
            </w:pPr>
          </w:p>
        </w:tc>
        <w:tc>
          <w:tcPr>
            <w:tcW w:w="520" w:type="dxa"/>
            <w:vAlign w:val="bottom"/>
            <w:tcBorders>
              <w:bottom w:val="single" w:sz="8" w:color="auto"/>
            </w:tcBorders>
            <w:vMerge w:val="continue"/>
          </w:tcPr>
          <w:p>
            <w:pPr>
              <w:spacing w:after="0"/>
              <w:rPr>
                <w:sz w:val="11"/>
                <w:szCs w:val="11"/>
                <w:color w:val="auto"/>
              </w:rPr>
            </w:pPr>
          </w:p>
        </w:tc>
        <w:tc>
          <w:tcPr>
            <w:tcW w:w="160" w:type="dxa"/>
            <w:vAlign w:val="bottom"/>
            <w:vMerge w:val="continue"/>
          </w:tcPr>
          <w:p>
            <w:pPr>
              <w:spacing w:after="0"/>
              <w:rPr>
                <w:sz w:val="11"/>
                <w:szCs w:val="11"/>
                <w:color w:val="auto"/>
              </w:rPr>
            </w:pPr>
          </w:p>
        </w:tc>
        <w:tc>
          <w:tcPr>
            <w:tcW w:w="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Revenue</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190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Commercial insurance</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1,184.4</w:t>
            </w:r>
          </w:p>
        </w:tc>
        <w:tc>
          <w:tcPr>
            <w:tcW w:w="200" w:type="dxa"/>
            <w:vAlign w:val="bottom"/>
            <w:tcBorders>
              <w:left w:val="single" w:sz="8" w:color="CFF0FC"/>
              <w:right w:val="single" w:sz="8" w:color="CFF0FC"/>
            </w:tcBorders>
            <w:shd w:val="clear" w:color="auto" w:fill="CFF0FC"/>
          </w:tcPr>
          <w:p>
            <w:pPr>
              <w:spacing w:after="0"/>
              <w:rPr>
                <w:sz w:val="14"/>
                <w:szCs w:val="14"/>
                <w:color w:val="auto"/>
              </w:rPr>
            </w:pPr>
          </w:p>
        </w:tc>
        <w:tc>
          <w:tcPr>
            <w:tcW w:w="720" w:type="dxa"/>
            <w:vAlign w:val="bottom"/>
            <w:tcBorders>
              <w:right w:val="single" w:sz="8" w:color="CFF0FC"/>
            </w:tcBorders>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28.1%</w:t>
            </w:r>
          </w:p>
        </w:tc>
        <w:tc>
          <w:tcPr>
            <w:tcW w:w="120" w:type="dxa"/>
            <w:vAlign w:val="bottom"/>
            <w:tcBorders>
              <w:lef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818.3</w:t>
            </w:r>
          </w:p>
        </w:tc>
        <w:tc>
          <w:tcPr>
            <w:tcW w:w="200" w:type="dxa"/>
            <w:vAlign w:val="bottom"/>
            <w:tcBorders>
              <w:left w:val="single" w:sz="8" w:color="CFF0FC"/>
              <w:right w:val="single" w:sz="8" w:color="CFF0FC"/>
            </w:tcBorders>
            <w:shd w:val="clear" w:color="auto" w:fill="CFF0FC"/>
          </w:tcPr>
          <w:p>
            <w:pPr>
              <w:spacing w:after="0"/>
              <w:rPr>
                <w:sz w:val="14"/>
                <w:szCs w:val="14"/>
                <w:color w:val="auto"/>
              </w:rPr>
            </w:pPr>
          </w:p>
        </w:tc>
        <w:tc>
          <w:tcPr>
            <w:tcW w:w="700" w:type="dxa"/>
            <w:vAlign w:val="bottom"/>
            <w:tcBorders>
              <w:right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24.5%</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3,197.3</w:t>
            </w:r>
          </w:p>
        </w:tc>
        <w:tc>
          <w:tcPr>
            <w:tcW w:w="200" w:type="dxa"/>
            <w:vAlign w:val="bottom"/>
            <w:tcBorders>
              <w:left w:val="single" w:sz="8" w:color="CFF0FC"/>
              <w:right w:val="single" w:sz="8" w:color="CFF0FC"/>
            </w:tcBorders>
            <w:shd w:val="clear" w:color="auto" w:fill="CFF0FC"/>
          </w:tcPr>
          <w:p>
            <w:pPr>
              <w:spacing w:after="0"/>
              <w:rPr>
                <w:sz w:val="14"/>
                <w:szCs w:val="14"/>
                <w:color w:val="auto"/>
              </w:rPr>
            </w:pPr>
          </w:p>
        </w:tc>
        <w:tc>
          <w:tcPr>
            <w:tcW w:w="760" w:type="dxa"/>
            <w:vAlign w:val="bottom"/>
            <w:tcBorders>
              <w:right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27.3%</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91"/>
              </w:rPr>
              <w:t>$ 2,234.8</w:t>
            </w:r>
          </w:p>
        </w:tc>
        <w:tc>
          <w:tcPr>
            <w:tcW w:w="160" w:type="dxa"/>
            <w:vAlign w:val="bottom"/>
            <w:tcBorders>
              <w:right w:val="single" w:sz="8" w:color="CFF0FC"/>
            </w:tcBorders>
            <w:shd w:val="clear" w:color="auto" w:fill="CFF0FC"/>
          </w:tcPr>
          <w:p>
            <w:pPr>
              <w:spacing w:after="0"/>
              <w:rPr>
                <w:sz w:val="14"/>
                <w:szCs w:val="14"/>
                <w:color w:val="auto"/>
              </w:rPr>
            </w:pPr>
          </w:p>
        </w:tc>
        <w:tc>
          <w:tcPr>
            <w:tcW w:w="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23.9%</w:t>
            </w:r>
          </w:p>
        </w:tc>
        <w:tc>
          <w:tcPr>
            <w:tcW w:w="0" w:type="dxa"/>
            <w:vAlign w:val="bottom"/>
          </w:tcPr>
          <w:p>
            <w:pPr>
              <w:spacing w:after="0"/>
              <w:rPr>
                <w:sz w:val="1"/>
                <w:szCs w:val="1"/>
                <w:color w:val="auto"/>
              </w:rPr>
            </w:pPr>
          </w:p>
        </w:tc>
      </w:tr>
      <w:tr>
        <w:trPr>
          <w:trHeight w:val="172"/>
        </w:trPr>
        <w:tc>
          <w:tcPr>
            <w:tcW w:w="1900" w:type="dxa"/>
            <w:vAlign w:val="bottom"/>
          </w:tcPr>
          <w:p>
            <w:pPr>
              <w:spacing w:after="0"/>
              <w:rPr>
                <w:sz w:val="20"/>
                <w:szCs w:val="20"/>
                <w:color w:val="auto"/>
              </w:rPr>
            </w:pPr>
            <w:r>
              <w:rPr>
                <w:rFonts w:ascii="Times New Roman" w:cs="Times New Roman" w:eastAsia="Times New Roman" w:hAnsi="Times New Roman"/>
                <w:sz w:val="14"/>
                <w:szCs w:val="14"/>
                <w:color w:val="auto"/>
              </w:rPr>
              <w:t>Medicaid</w:t>
            </w: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376.0</w:t>
            </w:r>
          </w:p>
        </w:tc>
        <w:tc>
          <w:tcPr>
            <w:tcW w:w="200" w:type="dxa"/>
            <w:vAlign w:val="bottom"/>
          </w:tcPr>
          <w:p>
            <w:pPr>
              <w:spacing w:after="0"/>
              <w:rPr>
                <w:sz w:val="14"/>
                <w:szCs w:val="14"/>
                <w:color w:val="auto"/>
              </w:rPr>
            </w:pPr>
          </w:p>
        </w:tc>
        <w:tc>
          <w:tcPr>
            <w:tcW w:w="72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8.9%</w:t>
            </w: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287.4</w:t>
            </w:r>
          </w:p>
        </w:tc>
        <w:tc>
          <w:tcPr>
            <w:tcW w:w="20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8.6%</w:t>
            </w: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1,023.9</w:t>
            </w:r>
          </w:p>
        </w:tc>
        <w:tc>
          <w:tcPr>
            <w:tcW w:w="20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8.8%</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791.8</w:t>
            </w:r>
          </w:p>
        </w:tc>
        <w:tc>
          <w:tcPr>
            <w:tcW w:w="16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8.5%</w:t>
            </w:r>
          </w:p>
        </w:tc>
        <w:tc>
          <w:tcPr>
            <w:tcW w:w="0" w:type="dxa"/>
            <w:vAlign w:val="bottom"/>
          </w:tcPr>
          <w:p>
            <w:pPr>
              <w:spacing w:after="0"/>
              <w:rPr>
                <w:sz w:val="1"/>
                <w:szCs w:val="1"/>
                <w:color w:val="auto"/>
              </w:rPr>
            </w:pPr>
          </w:p>
        </w:tc>
      </w:tr>
      <w:tr>
        <w:trPr>
          <w:trHeight w:val="172"/>
        </w:trPr>
        <w:tc>
          <w:tcPr>
            <w:tcW w:w="190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Medicare Part A</w:t>
            </w:r>
          </w:p>
        </w:tc>
        <w:tc>
          <w:tcPr>
            <w:tcW w:w="8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135.0</w:t>
            </w:r>
          </w:p>
        </w:tc>
        <w:tc>
          <w:tcPr>
            <w:tcW w:w="200" w:type="dxa"/>
            <w:vAlign w:val="bottom"/>
            <w:tcBorders>
              <w:left w:val="single" w:sz="8" w:color="CFF0FC"/>
              <w:right w:val="single" w:sz="8" w:color="CFF0FC"/>
            </w:tcBorders>
            <w:shd w:val="clear" w:color="auto" w:fill="CFF0FC"/>
          </w:tcPr>
          <w:p>
            <w:pPr>
              <w:spacing w:after="0"/>
              <w:rPr>
                <w:sz w:val="14"/>
                <w:szCs w:val="14"/>
                <w:color w:val="auto"/>
              </w:rPr>
            </w:pPr>
          </w:p>
        </w:tc>
        <w:tc>
          <w:tcPr>
            <w:tcW w:w="720" w:type="dxa"/>
            <w:vAlign w:val="bottom"/>
            <w:tcBorders>
              <w:right w:val="single" w:sz="8" w:color="CFF0FC"/>
            </w:tcBorders>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3.2%</w:t>
            </w:r>
          </w:p>
        </w:tc>
        <w:tc>
          <w:tcPr>
            <w:tcW w:w="120" w:type="dxa"/>
            <w:vAlign w:val="bottom"/>
            <w:tcBorders>
              <w:left w:val="single" w:sz="8" w:color="CFF0FC"/>
            </w:tcBorders>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143.0</w:t>
            </w:r>
          </w:p>
        </w:tc>
        <w:tc>
          <w:tcPr>
            <w:tcW w:w="200" w:type="dxa"/>
            <w:vAlign w:val="bottom"/>
            <w:tcBorders>
              <w:left w:val="single" w:sz="8" w:color="CFF0FC"/>
              <w:right w:val="single" w:sz="8" w:color="CFF0FC"/>
            </w:tcBorders>
            <w:shd w:val="clear" w:color="auto" w:fill="CFF0FC"/>
          </w:tcPr>
          <w:p>
            <w:pPr>
              <w:spacing w:after="0"/>
              <w:rPr>
                <w:sz w:val="14"/>
                <w:szCs w:val="14"/>
                <w:color w:val="auto"/>
              </w:rPr>
            </w:pPr>
          </w:p>
        </w:tc>
        <w:tc>
          <w:tcPr>
            <w:tcW w:w="700" w:type="dxa"/>
            <w:vAlign w:val="bottom"/>
            <w:tcBorders>
              <w:right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4.3%</w:t>
            </w:r>
          </w:p>
        </w:tc>
        <w:tc>
          <w:tcPr>
            <w:tcW w:w="8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409.0</w:t>
            </w:r>
          </w:p>
        </w:tc>
        <w:tc>
          <w:tcPr>
            <w:tcW w:w="200" w:type="dxa"/>
            <w:vAlign w:val="bottom"/>
            <w:tcBorders>
              <w:left w:val="single" w:sz="8" w:color="CFF0FC"/>
              <w:right w:val="single" w:sz="8" w:color="CFF0FC"/>
            </w:tcBorders>
            <w:shd w:val="clear" w:color="auto" w:fill="CFF0FC"/>
          </w:tcPr>
          <w:p>
            <w:pPr>
              <w:spacing w:after="0"/>
              <w:rPr>
                <w:sz w:val="14"/>
                <w:szCs w:val="14"/>
                <w:color w:val="auto"/>
              </w:rPr>
            </w:pPr>
          </w:p>
        </w:tc>
        <w:tc>
          <w:tcPr>
            <w:tcW w:w="760" w:type="dxa"/>
            <w:vAlign w:val="bottom"/>
            <w:tcBorders>
              <w:right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3.5%</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422.3</w:t>
            </w:r>
          </w:p>
        </w:tc>
        <w:tc>
          <w:tcPr>
            <w:tcW w:w="160" w:type="dxa"/>
            <w:vAlign w:val="bottom"/>
            <w:tcBorders>
              <w:right w:val="single" w:sz="8" w:color="CFF0FC"/>
            </w:tcBorders>
            <w:shd w:val="clear" w:color="auto" w:fill="CFF0FC"/>
          </w:tcPr>
          <w:p>
            <w:pPr>
              <w:spacing w:after="0"/>
              <w:rPr>
                <w:sz w:val="14"/>
                <w:szCs w:val="14"/>
                <w:color w:val="auto"/>
              </w:rPr>
            </w:pPr>
          </w:p>
        </w:tc>
        <w:tc>
          <w:tcPr>
            <w:tcW w:w="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172"/>
        </w:trPr>
        <w:tc>
          <w:tcPr>
            <w:tcW w:w="1900" w:type="dxa"/>
            <w:vAlign w:val="bottom"/>
          </w:tcPr>
          <w:p>
            <w:pPr>
              <w:spacing w:after="0"/>
              <w:rPr>
                <w:sz w:val="20"/>
                <w:szCs w:val="20"/>
                <w:color w:val="auto"/>
              </w:rPr>
            </w:pPr>
            <w:r>
              <w:rPr>
                <w:rFonts w:ascii="Times New Roman" w:cs="Times New Roman" w:eastAsia="Times New Roman" w:hAnsi="Times New Roman"/>
                <w:sz w:val="14"/>
                <w:szCs w:val="14"/>
                <w:color w:val="auto"/>
              </w:rPr>
              <w:t>Medicare Part B</w:t>
            </w: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200" w:type="dxa"/>
            <w:vAlign w:val="bottom"/>
          </w:tcPr>
          <w:p>
            <w:pPr>
              <w:spacing w:after="0"/>
              <w:rPr>
                <w:sz w:val="14"/>
                <w:szCs w:val="14"/>
                <w:color w:val="auto"/>
              </w:rPr>
            </w:pPr>
          </w:p>
        </w:tc>
        <w:tc>
          <w:tcPr>
            <w:tcW w:w="72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0.4%</w:t>
            </w: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w:t>
            </w:r>
          </w:p>
        </w:tc>
        <w:tc>
          <w:tcPr>
            <w:tcW w:w="20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0.6%</w:t>
            </w: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56.7</w:t>
            </w:r>
          </w:p>
        </w:tc>
        <w:tc>
          <w:tcPr>
            <w:tcW w:w="20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0.5%</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56.9</w:t>
            </w:r>
          </w:p>
        </w:tc>
        <w:tc>
          <w:tcPr>
            <w:tcW w:w="16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0.6%</w:t>
            </w:r>
          </w:p>
        </w:tc>
        <w:tc>
          <w:tcPr>
            <w:tcW w:w="0" w:type="dxa"/>
            <w:vAlign w:val="bottom"/>
          </w:tcPr>
          <w:p>
            <w:pPr>
              <w:spacing w:after="0"/>
              <w:rPr>
                <w:sz w:val="1"/>
                <w:szCs w:val="1"/>
                <w:color w:val="auto"/>
              </w:rPr>
            </w:pPr>
          </w:p>
        </w:tc>
      </w:tr>
      <w:tr>
        <w:trPr>
          <w:trHeight w:val="172"/>
        </w:trPr>
        <w:tc>
          <w:tcPr>
            <w:tcW w:w="190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Medicare Part C</w:t>
            </w:r>
          </w:p>
        </w:tc>
        <w:tc>
          <w:tcPr>
            <w:tcW w:w="8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708.0</w:t>
            </w:r>
          </w:p>
        </w:tc>
        <w:tc>
          <w:tcPr>
            <w:tcW w:w="200" w:type="dxa"/>
            <w:vAlign w:val="bottom"/>
            <w:tcBorders>
              <w:left w:val="single" w:sz="8" w:color="CFF0FC"/>
              <w:right w:val="single" w:sz="8" w:color="CFF0FC"/>
            </w:tcBorders>
            <w:shd w:val="clear" w:color="auto" w:fill="CFF0FC"/>
          </w:tcPr>
          <w:p>
            <w:pPr>
              <w:spacing w:after="0"/>
              <w:rPr>
                <w:sz w:val="14"/>
                <w:szCs w:val="14"/>
                <w:color w:val="auto"/>
              </w:rPr>
            </w:pPr>
          </w:p>
        </w:tc>
        <w:tc>
          <w:tcPr>
            <w:tcW w:w="720" w:type="dxa"/>
            <w:vAlign w:val="bottom"/>
            <w:tcBorders>
              <w:right w:val="single" w:sz="8" w:color="CFF0FC"/>
            </w:tcBorders>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16.8%</w:t>
            </w:r>
          </w:p>
        </w:tc>
        <w:tc>
          <w:tcPr>
            <w:tcW w:w="120" w:type="dxa"/>
            <w:vAlign w:val="bottom"/>
            <w:tcBorders>
              <w:left w:val="single" w:sz="8" w:color="CFF0FC"/>
            </w:tcBorders>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593.0</w:t>
            </w:r>
          </w:p>
        </w:tc>
        <w:tc>
          <w:tcPr>
            <w:tcW w:w="200" w:type="dxa"/>
            <w:vAlign w:val="bottom"/>
            <w:tcBorders>
              <w:left w:val="single" w:sz="8" w:color="CFF0FC"/>
              <w:right w:val="single" w:sz="8" w:color="CFF0FC"/>
            </w:tcBorders>
            <w:shd w:val="clear" w:color="auto" w:fill="CFF0FC"/>
          </w:tcPr>
          <w:p>
            <w:pPr>
              <w:spacing w:after="0"/>
              <w:rPr>
                <w:sz w:val="14"/>
                <w:szCs w:val="14"/>
                <w:color w:val="auto"/>
              </w:rPr>
            </w:pPr>
          </w:p>
        </w:tc>
        <w:tc>
          <w:tcPr>
            <w:tcW w:w="700" w:type="dxa"/>
            <w:vAlign w:val="bottom"/>
            <w:tcBorders>
              <w:right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17.8%</w:t>
            </w:r>
          </w:p>
        </w:tc>
        <w:tc>
          <w:tcPr>
            <w:tcW w:w="8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1,964.1</w:t>
            </w:r>
          </w:p>
        </w:tc>
        <w:tc>
          <w:tcPr>
            <w:tcW w:w="200" w:type="dxa"/>
            <w:vAlign w:val="bottom"/>
            <w:tcBorders>
              <w:left w:val="single" w:sz="8" w:color="CFF0FC"/>
              <w:right w:val="single" w:sz="8" w:color="CFF0FC"/>
            </w:tcBorders>
            <w:shd w:val="clear" w:color="auto" w:fill="CFF0FC"/>
          </w:tcPr>
          <w:p>
            <w:pPr>
              <w:spacing w:after="0"/>
              <w:rPr>
                <w:sz w:val="14"/>
                <w:szCs w:val="14"/>
                <w:color w:val="auto"/>
              </w:rPr>
            </w:pPr>
          </w:p>
        </w:tc>
        <w:tc>
          <w:tcPr>
            <w:tcW w:w="760" w:type="dxa"/>
            <w:vAlign w:val="bottom"/>
            <w:tcBorders>
              <w:right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16.8%</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1,636.3</w:t>
            </w:r>
          </w:p>
        </w:tc>
        <w:tc>
          <w:tcPr>
            <w:tcW w:w="160" w:type="dxa"/>
            <w:vAlign w:val="bottom"/>
            <w:tcBorders>
              <w:right w:val="single" w:sz="8" w:color="CFF0FC"/>
            </w:tcBorders>
            <w:shd w:val="clear" w:color="auto" w:fill="CFF0FC"/>
          </w:tcPr>
          <w:p>
            <w:pPr>
              <w:spacing w:after="0"/>
              <w:rPr>
                <w:sz w:val="14"/>
                <w:szCs w:val="14"/>
                <w:color w:val="auto"/>
              </w:rPr>
            </w:pPr>
          </w:p>
        </w:tc>
        <w:tc>
          <w:tcPr>
            <w:tcW w:w="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17.5%</w:t>
            </w:r>
          </w:p>
        </w:tc>
        <w:tc>
          <w:tcPr>
            <w:tcW w:w="0" w:type="dxa"/>
            <w:vAlign w:val="bottom"/>
          </w:tcPr>
          <w:p>
            <w:pPr>
              <w:spacing w:after="0"/>
              <w:rPr>
                <w:sz w:val="1"/>
                <w:szCs w:val="1"/>
                <w:color w:val="auto"/>
              </w:rPr>
            </w:pPr>
          </w:p>
        </w:tc>
      </w:tr>
      <w:tr>
        <w:trPr>
          <w:trHeight w:val="172"/>
        </w:trPr>
        <w:tc>
          <w:tcPr>
            <w:tcW w:w="1900" w:type="dxa"/>
            <w:vAlign w:val="bottom"/>
          </w:tcPr>
          <w:p>
            <w:pPr>
              <w:spacing w:after="0"/>
              <w:rPr>
                <w:sz w:val="20"/>
                <w:szCs w:val="20"/>
                <w:color w:val="auto"/>
              </w:rPr>
            </w:pPr>
            <w:r>
              <w:rPr>
                <w:rFonts w:ascii="Times New Roman" w:cs="Times New Roman" w:eastAsia="Times New Roman" w:hAnsi="Times New Roman"/>
                <w:sz w:val="14"/>
                <w:szCs w:val="14"/>
                <w:color w:val="auto"/>
              </w:rPr>
              <w:t>Medicare Part D</w:t>
            </w: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1,246.9</w:t>
            </w:r>
          </w:p>
        </w:tc>
        <w:tc>
          <w:tcPr>
            <w:tcW w:w="200" w:type="dxa"/>
            <w:vAlign w:val="bottom"/>
          </w:tcPr>
          <w:p>
            <w:pPr>
              <w:spacing w:after="0"/>
              <w:rPr>
                <w:sz w:val="14"/>
                <w:szCs w:val="14"/>
                <w:color w:val="auto"/>
              </w:rPr>
            </w:pPr>
          </w:p>
        </w:tc>
        <w:tc>
          <w:tcPr>
            <w:tcW w:w="72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29.6%</w:t>
            </w: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1,058.4</w:t>
            </w:r>
          </w:p>
        </w:tc>
        <w:tc>
          <w:tcPr>
            <w:tcW w:w="20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31.7%</w:t>
            </w: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3,470.9</w:t>
            </w:r>
          </w:p>
        </w:tc>
        <w:tc>
          <w:tcPr>
            <w:tcW w:w="20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29.7%</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2,977.7</w:t>
            </w:r>
          </w:p>
        </w:tc>
        <w:tc>
          <w:tcPr>
            <w:tcW w:w="16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31.8%</w:t>
            </w:r>
          </w:p>
        </w:tc>
        <w:tc>
          <w:tcPr>
            <w:tcW w:w="0" w:type="dxa"/>
            <w:vAlign w:val="bottom"/>
          </w:tcPr>
          <w:p>
            <w:pPr>
              <w:spacing w:after="0"/>
              <w:rPr>
                <w:sz w:val="1"/>
                <w:szCs w:val="1"/>
                <w:color w:val="auto"/>
              </w:rPr>
            </w:pPr>
          </w:p>
        </w:tc>
      </w:tr>
      <w:tr>
        <w:trPr>
          <w:trHeight w:val="172"/>
        </w:trPr>
        <w:tc>
          <w:tcPr>
            <w:tcW w:w="190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Private &amp; other</w:t>
            </w:r>
          </w:p>
        </w:tc>
        <w:tc>
          <w:tcPr>
            <w:tcW w:w="8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64.0</w:t>
            </w:r>
          </w:p>
        </w:tc>
        <w:tc>
          <w:tcPr>
            <w:tcW w:w="200" w:type="dxa"/>
            <w:vAlign w:val="bottom"/>
            <w:tcBorders>
              <w:left w:val="single" w:sz="8" w:color="CFF0FC"/>
              <w:right w:val="single" w:sz="8" w:color="CFF0FC"/>
            </w:tcBorders>
            <w:shd w:val="clear" w:color="auto" w:fill="CFF0FC"/>
          </w:tcPr>
          <w:p>
            <w:pPr>
              <w:spacing w:after="0"/>
              <w:rPr>
                <w:sz w:val="14"/>
                <w:szCs w:val="14"/>
                <w:color w:val="auto"/>
              </w:rPr>
            </w:pPr>
          </w:p>
        </w:tc>
        <w:tc>
          <w:tcPr>
            <w:tcW w:w="720" w:type="dxa"/>
            <w:vAlign w:val="bottom"/>
            <w:tcBorders>
              <w:right w:val="single" w:sz="8" w:color="CFF0FC"/>
            </w:tcBorders>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tcBorders>
              <w:left w:val="single" w:sz="8" w:color="CFF0FC"/>
            </w:tcBorders>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48.2</w:t>
            </w:r>
          </w:p>
        </w:tc>
        <w:tc>
          <w:tcPr>
            <w:tcW w:w="200" w:type="dxa"/>
            <w:vAlign w:val="bottom"/>
            <w:tcBorders>
              <w:left w:val="single" w:sz="8" w:color="CFF0FC"/>
              <w:right w:val="single" w:sz="8" w:color="CFF0FC"/>
            </w:tcBorders>
            <w:shd w:val="clear" w:color="auto" w:fill="CFF0FC"/>
          </w:tcPr>
          <w:p>
            <w:pPr>
              <w:spacing w:after="0"/>
              <w:rPr>
                <w:sz w:val="14"/>
                <w:szCs w:val="14"/>
                <w:color w:val="auto"/>
              </w:rPr>
            </w:pPr>
          </w:p>
        </w:tc>
        <w:tc>
          <w:tcPr>
            <w:tcW w:w="700" w:type="dxa"/>
            <w:vAlign w:val="bottom"/>
            <w:tcBorders>
              <w:right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189.1</w:t>
            </w:r>
          </w:p>
        </w:tc>
        <w:tc>
          <w:tcPr>
            <w:tcW w:w="200" w:type="dxa"/>
            <w:vAlign w:val="bottom"/>
            <w:tcBorders>
              <w:left w:val="single" w:sz="8" w:color="CFF0FC"/>
              <w:right w:val="single" w:sz="8" w:color="CFF0FC"/>
            </w:tcBorders>
            <w:shd w:val="clear" w:color="auto" w:fill="CFF0FC"/>
          </w:tcPr>
          <w:p>
            <w:pPr>
              <w:spacing w:after="0"/>
              <w:rPr>
                <w:sz w:val="14"/>
                <w:szCs w:val="14"/>
                <w:color w:val="auto"/>
              </w:rPr>
            </w:pPr>
          </w:p>
        </w:tc>
        <w:tc>
          <w:tcPr>
            <w:tcW w:w="760" w:type="dxa"/>
            <w:vAlign w:val="bottom"/>
            <w:tcBorders>
              <w:right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1.5%</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169.4</w:t>
            </w:r>
          </w:p>
        </w:tc>
        <w:tc>
          <w:tcPr>
            <w:tcW w:w="160" w:type="dxa"/>
            <w:vAlign w:val="bottom"/>
            <w:tcBorders>
              <w:right w:val="single" w:sz="8" w:color="CFF0FC"/>
            </w:tcBorders>
            <w:shd w:val="clear" w:color="auto" w:fill="CFF0FC"/>
          </w:tcPr>
          <w:p>
            <w:pPr>
              <w:spacing w:after="0"/>
              <w:rPr>
                <w:sz w:val="14"/>
                <w:szCs w:val="14"/>
                <w:color w:val="auto"/>
              </w:rPr>
            </w:pPr>
          </w:p>
        </w:tc>
        <w:tc>
          <w:tcPr>
            <w:tcW w:w="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20"/>
        </w:trPr>
        <w:tc>
          <w:tcPr>
            <w:tcW w:w="1900" w:type="dxa"/>
            <w:vAlign w:val="bottom"/>
            <w:tcBorders>
              <w:right w:val="single" w:sz="8" w:color="CFF0FC"/>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Borders>
              <w:left w:val="single" w:sz="8" w:color="auto"/>
              <w:right w:val="single" w:sz="8" w:color="auto"/>
            </w:tcBorders>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CFF0FC"/>
          </w:tcPr>
          <w:p>
            <w:pPr>
              <w:spacing w:after="0" w:line="20" w:lineRule="exact"/>
              <w:rPr>
                <w:sz w:val="1"/>
                <w:szCs w:val="1"/>
                <w:color w:val="auto"/>
              </w:rPr>
            </w:pPr>
          </w:p>
        </w:tc>
        <w:tc>
          <w:tcPr>
            <w:tcW w:w="16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Borders>
              <w:left w:val="single" w:sz="8" w:color="auto"/>
              <w:right w:val="single" w:sz="8" w:color="auto"/>
            </w:tcBorders>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Borders>
              <w:left w:val="single" w:sz="8" w:color="auto"/>
              <w:right w:val="single" w:sz="8" w:color="CFF0FC"/>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Borders>
              <w:left w:val="single" w:sz="8" w:color="auto"/>
              <w:right w:val="single" w:sz="8" w:color="CFF0FC"/>
            </w:tcBorders>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Borders>
              <w:left w:val="single" w:sz="8" w:color="auto"/>
              <w:right w:val="single" w:sz="8" w:color="CFF0FC"/>
            </w:tcBorders>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9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3,732.4</w:t>
            </w:r>
          </w:p>
        </w:tc>
        <w:tc>
          <w:tcPr>
            <w:tcW w:w="200" w:type="dxa"/>
            <w:vAlign w:val="bottom"/>
          </w:tcPr>
          <w:p>
            <w:pPr>
              <w:spacing w:after="0"/>
              <w:rPr>
                <w:sz w:val="14"/>
                <w:szCs w:val="14"/>
                <w:color w:val="auto"/>
              </w:rPr>
            </w:pPr>
          </w:p>
        </w:tc>
        <w:tc>
          <w:tcPr>
            <w:tcW w:w="72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88.6%</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2,967.0</w:t>
            </w:r>
          </w:p>
        </w:tc>
        <w:tc>
          <w:tcPr>
            <w:tcW w:w="20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89.0%</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10,311.0</w:t>
            </w:r>
          </w:p>
        </w:tc>
        <w:tc>
          <w:tcPr>
            <w:tcW w:w="20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88.1%</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u w:val="single" w:color="auto"/>
                <w:color w:val="auto"/>
                <w:w w:val="91"/>
              </w:rPr>
              <w:t>$</w:t>
            </w:r>
            <w:r>
              <w:rPr>
                <w:rFonts w:ascii="Times New Roman" w:cs="Times New Roman" w:eastAsia="Times New Roman" w:hAnsi="Times New Roman"/>
                <w:sz w:val="14"/>
                <w:szCs w:val="14"/>
                <w:color w:val="auto"/>
                <w:w w:val="91"/>
              </w:rPr>
              <w:t xml:space="preserve"> 8,289.2</w:t>
            </w:r>
          </w:p>
        </w:tc>
        <w:tc>
          <w:tcPr>
            <w:tcW w:w="16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88.6%</w:t>
            </w: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190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gridSpan w:val="5"/>
          </w:tcPr>
          <w:p>
            <w:pPr>
              <w:jc w:val="center"/>
              <w:ind w:right="400"/>
              <w:spacing w:after="0"/>
              <w:rPr>
                <w:sz w:val="20"/>
                <w:szCs w:val="20"/>
                <w:color w:val="auto"/>
              </w:rPr>
            </w:pPr>
            <w:r>
              <w:rPr>
                <w:rFonts w:ascii="Times New Roman" w:cs="Times New Roman" w:eastAsia="Times New Roman" w:hAnsi="Times New Roman"/>
                <w:sz w:val="11"/>
                <w:szCs w:val="11"/>
                <w:b w:val="1"/>
                <w:bCs w:val="1"/>
                <w:color w:val="auto"/>
              </w:rPr>
              <w:t>Provider Services</w:t>
            </w:r>
          </w:p>
        </w:tc>
        <w:tc>
          <w:tcPr>
            <w:tcW w:w="48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9"/>
        </w:trPr>
        <w:tc>
          <w:tcPr>
            <w:tcW w:w="1900" w:type="dxa"/>
            <w:vAlign w:val="bottom"/>
          </w:tcPr>
          <w:p>
            <w:pPr>
              <w:spacing w:after="0"/>
              <w:rPr>
                <w:sz w:val="9"/>
                <w:szCs w:val="9"/>
                <w:color w:val="auto"/>
              </w:rPr>
            </w:pPr>
          </w:p>
        </w:tc>
        <w:tc>
          <w:tcPr>
            <w:tcW w:w="80" w:type="dxa"/>
            <w:vAlign w:val="bottom"/>
          </w:tcPr>
          <w:p>
            <w:pPr>
              <w:spacing w:after="0"/>
              <w:rPr>
                <w:sz w:val="9"/>
                <w:szCs w:val="9"/>
                <w:color w:val="auto"/>
              </w:rPr>
            </w:pPr>
          </w:p>
        </w:tc>
        <w:tc>
          <w:tcPr>
            <w:tcW w:w="2900" w:type="dxa"/>
            <w:vAlign w:val="bottom"/>
            <w:gridSpan w:val="10"/>
          </w:tcPr>
          <w:p>
            <w:pPr>
              <w:jc w:val="right"/>
              <w:ind w:right="540"/>
              <w:spacing w:after="0" w:line="109" w:lineRule="exact"/>
              <w:rPr>
                <w:sz w:val="20"/>
                <w:szCs w:val="20"/>
                <w:color w:val="auto"/>
              </w:rPr>
            </w:pPr>
            <w:r>
              <w:rPr>
                <w:rFonts w:ascii="Times New Roman" w:cs="Times New Roman" w:eastAsia="Times New Roman" w:hAnsi="Times New Roman"/>
                <w:sz w:val="11"/>
                <w:szCs w:val="11"/>
                <w:b w:val="1"/>
                <w:bCs w:val="1"/>
                <w:color w:val="auto"/>
              </w:rPr>
              <w:t>For the Three Months Ended September 30,</w:t>
            </w:r>
          </w:p>
        </w:tc>
        <w:tc>
          <w:tcPr>
            <w:tcW w:w="80" w:type="dxa"/>
            <w:vAlign w:val="bottom"/>
          </w:tcPr>
          <w:p>
            <w:pPr>
              <w:spacing w:after="0"/>
              <w:rPr>
                <w:sz w:val="9"/>
                <w:szCs w:val="9"/>
                <w:color w:val="auto"/>
              </w:rPr>
            </w:pPr>
          </w:p>
        </w:tc>
        <w:tc>
          <w:tcPr>
            <w:tcW w:w="2640" w:type="dxa"/>
            <w:vAlign w:val="bottom"/>
            <w:gridSpan w:val="7"/>
          </w:tcPr>
          <w:p>
            <w:pPr>
              <w:ind w:left="220"/>
              <w:spacing w:after="0" w:line="109" w:lineRule="exact"/>
              <w:rPr>
                <w:sz w:val="20"/>
                <w:szCs w:val="20"/>
                <w:color w:val="auto"/>
              </w:rPr>
            </w:pPr>
            <w:r>
              <w:rPr>
                <w:rFonts w:ascii="Times New Roman" w:cs="Times New Roman" w:eastAsia="Times New Roman" w:hAnsi="Times New Roman"/>
                <w:sz w:val="11"/>
                <w:szCs w:val="11"/>
                <w:b w:val="1"/>
                <w:bCs w:val="1"/>
                <w:color w:val="auto"/>
              </w:rPr>
              <w:t>For the Nine Months Ended September 30,</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1900" w:type="dxa"/>
            <w:vAlign w:val="bottom"/>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700" w:type="dxa"/>
            <w:vAlign w:val="bottom"/>
            <w:tcBorders>
              <w:top w:val="single" w:sz="8" w:color="auto"/>
              <w:bottom w:val="single" w:sz="8" w:color="auto"/>
            </w:tcBorders>
            <w:gridSpan w:val="2"/>
          </w:tcPr>
          <w:p>
            <w:pPr>
              <w:jc w:val="right"/>
              <w:ind w:right="40"/>
              <w:spacing w:after="0" w:line="109" w:lineRule="exact"/>
              <w:rPr>
                <w:sz w:val="20"/>
                <w:szCs w:val="20"/>
                <w:color w:val="auto"/>
              </w:rPr>
            </w:pPr>
            <w:r>
              <w:rPr>
                <w:rFonts w:ascii="Times New Roman" w:cs="Times New Roman" w:eastAsia="Times New Roman" w:hAnsi="Times New Roman"/>
                <w:sz w:val="11"/>
                <w:szCs w:val="11"/>
                <w:b w:val="1"/>
                <w:bCs w:val="1"/>
                <w:color w:val="auto"/>
              </w:rPr>
              <w:t>2026</w:t>
            </w:r>
          </w:p>
        </w:tc>
        <w:tc>
          <w:tcPr>
            <w:tcW w:w="480" w:type="dxa"/>
            <w:vAlign w:val="bottom"/>
            <w:tcBorders>
              <w:top w:val="single" w:sz="8" w:color="auto"/>
              <w:bottom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120" w:type="dxa"/>
            <w:vAlign w:val="bottom"/>
            <w:tcBorders>
              <w:top w:val="single" w:sz="8" w:color="auto"/>
              <w:bottom w:val="single" w:sz="8" w:color="auto"/>
            </w:tcBorders>
          </w:tcPr>
          <w:p>
            <w:pPr>
              <w:spacing w:after="0"/>
              <w:rPr>
                <w:sz w:val="9"/>
                <w:szCs w:val="9"/>
                <w:color w:val="auto"/>
              </w:rPr>
            </w:pPr>
          </w:p>
        </w:tc>
        <w:tc>
          <w:tcPr>
            <w:tcW w:w="660" w:type="dxa"/>
            <w:vAlign w:val="bottom"/>
            <w:tcBorders>
              <w:top w:val="single" w:sz="8" w:color="auto"/>
              <w:bottom w:val="single" w:sz="8" w:color="auto"/>
            </w:tcBorders>
            <w:gridSpan w:val="2"/>
          </w:tcPr>
          <w:p>
            <w:pPr>
              <w:jc w:val="right"/>
              <w:ind w:right="60"/>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480" w:type="dxa"/>
            <w:vAlign w:val="bottom"/>
            <w:tcBorders>
              <w:top w:val="single" w:sz="8" w:color="auto"/>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720" w:type="dxa"/>
            <w:vAlign w:val="bottom"/>
            <w:tcBorders>
              <w:top w:val="single" w:sz="8" w:color="auto"/>
              <w:bottom w:val="single" w:sz="8" w:color="auto"/>
            </w:tcBorders>
            <w:gridSpan w:val="2"/>
          </w:tcPr>
          <w:p>
            <w:pPr>
              <w:jc w:val="right"/>
              <w:ind w:right="60"/>
              <w:spacing w:after="0" w:line="109" w:lineRule="exact"/>
              <w:rPr>
                <w:sz w:val="20"/>
                <w:szCs w:val="20"/>
                <w:color w:val="auto"/>
              </w:rPr>
            </w:pPr>
            <w:r>
              <w:rPr>
                <w:rFonts w:ascii="Times New Roman" w:cs="Times New Roman" w:eastAsia="Times New Roman" w:hAnsi="Times New Roman"/>
                <w:sz w:val="11"/>
                <w:szCs w:val="11"/>
                <w:b w:val="1"/>
                <w:bCs w:val="1"/>
                <w:color w:val="auto"/>
              </w:rPr>
              <w:t>2026</w:t>
            </w:r>
          </w:p>
        </w:tc>
        <w:tc>
          <w:tcPr>
            <w:tcW w:w="480" w:type="dxa"/>
            <w:vAlign w:val="bottom"/>
            <w:tcBorders>
              <w:top w:val="single" w:sz="8" w:color="auto"/>
              <w:bottom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680" w:type="dxa"/>
            <w:vAlign w:val="bottom"/>
            <w:tcBorders>
              <w:top w:val="single" w:sz="8" w:color="auto"/>
              <w:bottom w:val="single" w:sz="8" w:color="auto"/>
            </w:tcBorders>
            <w:gridSpan w:val="2"/>
          </w:tcPr>
          <w:p>
            <w:pPr>
              <w:jc w:val="right"/>
              <w:ind w:right="20"/>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480" w:type="dxa"/>
            <w:vAlign w:val="bottom"/>
            <w:tcBorders>
              <w:top w:val="single" w:sz="8" w:color="auto"/>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190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Revenue</w:t>
            </w:r>
          </w:p>
        </w:tc>
        <w:tc>
          <w:tcPr>
            <w:tcW w:w="200" w:type="dxa"/>
            <w:vAlign w:val="bottom"/>
            <w:vMerge w:val="restart"/>
          </w:tcPr>
          <w:p>
            <w:pPr>
              <w:spacing w:after="0"/>
              <w:rPr>
                <w:sz w:val="7"/>
                <w:szCs w:val="7"/>
                <w:color w:val="auto"/>
              </w:rPr>
            </w:pPr>
          </w:p>
        </w:tc>
        <w:tc>
          <w:tcPr>
            <w:tcW w:w="480" w:type="dxa"/>
            <w:vAlign w:val="bottom"/>
          </w:tcPr>
          <w:p>
            <w:pPr>
              <w:jc w:val="center"/>
              <w:ind w:right="12"/>
              <w:spacing w:after="0" w:line="90" w:lineRule="exact"/>
              <w:rPr>
                <w:sz w:val="20"/>
                <w:szCs w:val="20"/>
                <w:color w:val="auto"/>
              </w:rPr>
            </w:pPr>
            <w:r>
              <w:rPr>
                <w:rFonts w:ascii="Times New Roman" w:cs="Times New Roman" w:eastAsia="Times New Roman" w:hAnsi="Times New Roman"/>
                <w:sz w:val="10"/>
                <w:szCs w:val="10"/>
                <w:b w:val="1"/>
                <w:bCs w:val="1"/>
                <w:color w:val="auto"/>
              </w:rPr>
              <w:t>% of</w:t>
            </w: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gridSpan w:val="2"/>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Revenue</w:t>
            </w:r>
          </w:p>
        </w:tc>
        <w:tc>
          <w:tcPr>
            <w:tcW w:w="200" w:type="dxa"/>
            <w:vAlign w:val="bottom"/>
            <w:vMerge w:val="restart"/>
          </w:tcPr>
          <w:p>
            <w:pPr>
              <w:spacing w:after="0"/>
              <w:rPr>
                <w:sz w:val="7"/>
                <w:szCs w:val="7"/>
                <w:color w:val="auto"/>
              </w:rPr>
            </w:pPr>
          </w:p>
        </w:tc>
        <w:tc>
          <w:tcPr>
            <w:tcW w:w="480" w:type="dxa"/>
            <w:vAlign w:val="bottom"/>
          </w:tcPr>
          <w:p>
            <w:pPr>
              <w:jc w:val="center"/>
              <w:ind w:right="13"/>
              <w:spacing w:after="0" w:line="90" w:lineRule="exact"/>
              <w:rPr>
                <w:sz w:val="20"/>
                <w:szCs w:val="20"/>
                <w:color w:val="auto"/>
              </w:rPr>
            </w:pPr>
            <w:r>
              <w:rPr>
                <w:rFonts w:ascii="Times New Roman" w:cs="Times New Roman" w:eastAsia="Times New Roman" w:hAnsi="Times New Roman"/>
                <w:sz w:val="10"/>
                <w:szCs w:val="10"/>
                <w:b w:val="1"/>
                <w:bCs w:val="1"/>
                <w:color w:val="auto"/>
              </w:rPr>
              <w:t>% of</w:t>
            </w: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restart"/>
          </w:tcPr>
          <w:p>
            <w:pPr>
              <w:jc w:val="right"/>
              <w:ind w:right="32"/>
              <w:spacing w:after="0"/>
              <w:rPr>
                <w:sz w:val="20"/>
                <w:szCs w:val="20"/>
                <w:color w:val="auto"/>
              </w:rPr>
            </w:pPr>
            <w:r>
              <w:rPr>
                <w:rFonts w:ascii="Times New Roman" w:cs="Times New Roman" w:eastAsia="Times New Roman" w:hAnsi="Times New Roman"/>
                <w:sz w:val="11"/>
                <w:szCs w:val="11"/>
                <w:b w:val="1"/>
                <w:bCs w:val="1"/>
                <w:color w:val="auto"/>
                <w:w w:val="99"/>
              </w:rPr>
              <w:t>Revenue</w:t>
            </w:r>
          </w:p>
        </w:tc>
        <w:tc>
          <w:tcPr>
            <w:tcW w:w="200" w:type="dxa"/>
            <w:vAlign w:val="bottom"/>
            <w:vMerge w:val="restart"/>
          </w:tcPr>
          <w:p>
            <w:pPr>
              <w:spacing w:after="0"/>
              <w:rPr>
                <w:sz w:val="7"/>
                <w:szCs w:val="7"/>
                <w:color w:val="auto"/>
              </w:rPr>
            </w:pPr>
          </w:p>
        </w:tc>
        <w:tc>
          <w:tcPr>
            <w:tcW w:w="480" w:type="dxa"/>
            <w:vAlign w:val="bottom"/>
          </w:tcPr>
          <w:p>
            <w:pPr>
              <w:jc w:val="center"/>
              <w:ind w:right="12"/>
              <w:spacing w:after="0" w:line="90" w:lineRule="exact"/>
              <w:rPr>
                <w:sz w:val="20"/>
                <w:szCs w:val="20"/>
                <w:color w:val="auto"/>
              </w:rPr>
            </w:pPr>
            <w:r>
              <w:rPr>
                <w:rFonts w:ascii="Times New Roman" w:cs="Times New Roman" w:eastAsia="Times New Roman" w:hAnsi="Times New Roman"/>
                <w:sz w:val="10"/>
                <w:szCs w:val="10"/>
                <w:b w:val="1"/>
                <w:bCs w:val="1"/>
                <w:color w:val="auto"/>
              </w:rPr>
              <w:t>% of</w:t>
            </w:r>
          </w:p>
        </w:tc>
        <w:tc>
          <w:tcPr>
            <w:tcW w:w="280" w:type="dxa"/>
            <w:vAlign w:val="bottom"/>
          </w:tcPr>
          <w:p>
            <w:pPr>
              <w:spacing w:after="0"/>
              <w:rPr>
                <w:sz w:val="7"/>
                <w:szCs w:val="7"/>
                <w:color w:val="auto"/>
              </w:rPr>
            </w:pPr>
          </w:p>
        </w:tc>
        <w:tc>
          <w:tcPr>
            <w:tcW w:w="520" w:type="dxa"/>
            <w:vAlign w:val="bottom"/>
            <w:vMerge w:val="restart"/>
          </w:tcPr>
          <w:p>
            <w:pPr>
              <w:jc w:val="right"/>
              <w:ind w:right="11"/>
              <w:spacing w:after="0"/>
              <w:rPr>
                <w:sz w:val="20"/>
                <w:szCs w:val="20"/>
                <w:color w:val="auto"/>
              </w:rPr>
            </w:pPr>
            <w:r>
              <w:rPr>
                <w:rFonts w:ascii="Times New Roman" w:cs="Times New Roman" w:eastAsia="Times New Roman" w:hAnsi="Times New Roman"/>
                <w:sz w:val="11"/>
                <w:szCs w:val="11"/>
                <w:b w:val="1"/>
                <w:bCs w:val="1"/>
                <w:color w:val="auto"/>
              </w:rPr>
              <w:t>Revenue</w:t>
            </w:r>
          </w:p>
        </w:tc>
        <w:tc>
          <w:tcPr>
            <w:tcW w:w="160" w:type="dxa"/>
            <w:vAlign w:val="bottom"/>
            <w:vMerge w:val="restart"/>
          </w:tcPr>
          <w:p>
            <w:pPr>
              <w:spacing w:after="0"/>
              <w:rPr>
                <w:sz w:val="7"/>
                <w:szCs w:val="7"/>
                <w:color w:val="auto"/>
              </w:rPr>
            </w:pPr>
          </w:p>
        </w:tc>
        <w:tc>
          <w:tcPr>
            <w:tcW w:w="480" w:type="dxa"/>
            <w:vAlign w:val="bottom"/>
          </w:tcPr>
          <w:p>
            <w:pPr>
              <w:jc w:val="center"/>
              <w:spacing w:after="0" w:line="90" w:lineRule="exact"/>
              <w:rPr>
                <w:sz w:val="20"/>
                <w:szCs w:val="20"/>
                <w:color w:val="auto"/>
              </w:rPr>
            </w:pPr>
            <w:r>
              <w:rPr>
                <w:rFonts w:ascii="Times New Roman" w:cs="Times New Roman" w:eastAsia="Times New Roman" w:hAnsi="Times New Roman"/>
                <w:sz w:val="10"/>
                <w:szCs w:val="10"/>
                <w:b w:val="1"/>
                <w:bCs w:val="1"/>
                <w:color w:val="auto"/>
              </w:rPr>
              <w:t>% of</w:t>
            </w: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7"/>
        </w:trPr>
        <w:tc>
          <w:tcPr>
            <w:tcW w:w="19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vMerge w:val="continue"/>
          </w:tcPr>
          <w:p>
            <w:pPr>
              <w:spacing w:after="0"/>
              <w:rPr>
                <w:sz w:val="11"/>
                <w:szCs w:val="11"/>
                <w:color w:val="auto"/>
              </w:rPr>
            </w:pPr>
          </w:p>
        </w:tc>
        <w:tc>
          <w:tcPr>
            <w:tcW w:w="200" w:type="dxa"/>
            <w:vAlign w:val="bottom"/>
            <w:vMerge w:val="continue"/>
          </w:tcPr>
          <w:p>
            <w:pPr>
              <w:spacing w:after="0"/>
              <w:rPr>
                <w:sz w:val="11"/>
                <w:szCs w:val="11"/>
                <w:color w:val="auto"/>
              </w:rPr>
            </w:pPr>
          </w:p>
        </w:tc>
        <w:tc>
          <w:tcPr>
            <w:tcW w:w="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Revenue</w:t>
            </w:r>
          </w:p>
        </w:tc>
        <w:tc>
          <w:tcPr>
            <w:tcW w:w="240" w:type="dxa"/>
            <w:vAlign w:val="bottom"/>
            <w:gridSpan w:val="2"/>
          </w:tcPr>
          <w:p>
            <w:pPr>
              <w:spacing w:after="0"/>
              <w:rPr>
                <w:sz w:val="11"/>
                <w:szCs w:val="11"/>
                <w:color w:val="auto"/>
              </w:rPr>
            </w:pPr>
          </w:p>
        </w:tc>
        <w:tc>
          <w:tcPr>
            <w:tcW w:w="580" w:type="dxa"/>
            <w:vAlign w:val="bottom"/>
            <w:tcBorders>
              <w:bottom w:val="single" w:sz="8" w:color="auto"/>
            </w:tcBorders>
            <w:gridSpan w:val="2"/>
            <w:vMerge w:val="continue"/>
          </w:tcPr>
          <w:p>
            <w:pPr>
              <w:spacing w:after="0"/>
              <w:rPr>
                <w:sz w:val="11"/>
                <w:szCs w:val="11"/>
                <w:color w:val="auto"/>
              </w:rPr>
            </w:pPr>
          </w:p>
        </w:tc>
        <w:tc>
          <w:tcPr>
            <w:tcW w:w="200" w:type="dxa"/>
            <w:vAlign w:val="bottom"/>
            <w:vMerge w:val="continue"/>
          </w:tcPr>
          <w:p>
            <w:pPr>
              <w:spacing w:after="0"/>
              <w:rPr>
                <w:sz w:val="11"/>
                <w:szCs w:val="11"/>
                <w:color w:val="auto"/>
              </w:rPr>
            </w:pPr>
          </w:p>
        </w:tc>
        <w:tc>
          <w:tcPr>
            <w:tcW w:w="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Revenue</w:t>
            </w: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vMerge w:val="continue"/>
          </w:tcPr>
          <w:p>
            <w:pPr>
              <w:spacing w:after="0"/>
              <w:rPr>
                <w:sz w:val="11"/>
                <w:szCs w:val="11"/>
                <w:color w:val="auto"/>
              </w:rPr>
            </w:pPr>
          </w:p>
        </w:tc>
        <w:tc>
          <w:tcPr>
            <w:tcW w:w="200" w:type="dxa"/>
            <w:vAlign w:val="bottom"/>
            <w:vMerge w:val="continue"/>
          </w:tcPr>
          <w:p>
            <w:pPr>
              <w:spacing w:after="0"/>
              <w:rPr>
                <w:sz w:val="11"/>
                <w:szCs w:val="11"/>
                <w:color w:val="auto"/>
              </w:rPr>
            </w:pPr>
          </w:p>
        </w:tc>
        <w:tc>
          <w:tcPr>
            <w:tcW w:w="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Revenue</w:t>
            </w:r>
          </w:p>
        </w:tc>
        <w:tc>
          <w:tcPr>
            <w:tcW w:w="280" w:type="dxa"/>
            <w:vAlign w:val="bottom"/>
          </w:tcPr>
          <w:p>
            <w:pPr>
              <w:spacing w:after="0"/>
              <w:rPr>
                <w:sz w:val="11"/>
                <w:szCs w:val="11"/>
                <w:color w:val="auto"/>
              </w:rPr>
            </w:pPr>
          </w:p>
        </w:tc>
        <w:tc>
          <w:tcPr>
            <w:tcW w:w="520" w:type="dxa"/>
            <w:vAlign w:val="bottom"/>
            <w:tcBorders>
              <w:bottom w:val="single" w:sz="8" w:color="auto"/>
            </w:tcBorders>
            <w:vMerge w:val="continue"/>
          </w:tcPr>
          <w:p>
            <w:pPr>
              <w:spacing w:after="0"/>
              <w:rPr>
                <w:sz w:val="11"/>
                <w:szCs w:val="11"/>
                <w:color w:val="auto"/>
              </w:rPr>
            </w:pPr>
          </w:p>
        </w:tc>
        <w:tc>
          <w:tcPr>
            <w:tcW w:w="160" w:type="dxa"/>
            <w:vAlign w:val="bottom"/>
            <w:vMerge w:val="continue"/>
          </w:tcPr>
          <w:p>
            <w:pPr>
              <w:spacing w:after="0"/>
              <w:rPr>
                <w:sz w:val="11"/>
                <w:szCs w:val="11"/>
                <w:color w:val="auto"/>
              </w:rPr>
            </w:pPr>
          </w:p>
        </w:tc>
        <w:tc>
          <w:tcPr>
            <w:tcW w:w="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Revenue</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190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Commercial insurance</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61.3</w:t>
            </w:r>
          </w:p>
        </w:tc>
        <w:tc>
          <w:tcPr>
            <w:tcW w:w="200" w:type="dxa"/>
            <w:vAlign w:val="bottom"/>
            <w:tcBorders>
              <w:left w:val="single" w:sz="8" w:color="CFF0FC"/>
              <w:right w:val="single" w:sz="8" w:color="CFF0FC"/>
            </w:tcBorders>
            <w:shd w:val="clear" w:color="auto" w:fill="CFF0FC"/>
          </w:tcPr>
          <w:p>
            <w:pPr>
              <w:spacing w:after="0"/>
              <w:rPr>
                <w:sz w:val="14"/>
                <w:szCs w:val="14"/>
                <w:color w:val="auto"/>
              </w:rPr>
            </w:pPr>
          </w:p>
        </w:tc>
        <w:tc>
          <w:tcPr>
            <w:tcW w:w="720" w:type="dxa"/>
            <w:vAlign w:val="bottom"/>
            <w:tcBorders>
              <w:right w:val="single" w:sz="8" w:color="CFF0FC"/>
            </w:tcBorders>
            <w:gridSpan w:val="3"/>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tcBorders>
              <w:lef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51.3</w:t>
            </w:r>
          </w:p>
        </w:tc>
        <w:tc>
          <w:tcPr>
            <w:tcW w:w="200" w:type="dxa"/>
            <w:vAlign w:val="bottom"/>
            <w:tcBorders>
              <w:left w:val="single" w:sz="8" w:color="CFF0FC"/>
              <w:right w:val="single" w:sz="8" w:color="CFF0FC"/>
            </w:tcBorders>
            <w:shd w:val="clear" w:color="auto" w:fill="CFF0FC"/>
          </w:tcPr>
          <w:p>
            <w:pPr>
              <w:spacing w:after="0"/>
              <w:rPr>
                <w:sz w:val="14"/>
                <w:szCs w:val="14"/>
                <w:color w:val="auto"/>
              </w:rPr>
            </w:pPr>
          </w:p>
        </w:tc>
        <w:tc>
          <w:tcPr>
            <w:tcW w:w="700" w:type="dxa"/>
            <w:vAlign w:val="bottom"/>
            <w:tcBorders>
              <w:right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175.2</w:t>
            </w:r>
          </w:p>
        </w:tc>
        <w:tc>
          <w:tcPr>
            <w:tcW w:w="200" w:type="dxa"/>
            <w:vAlign w:val="bottom"/>
            <w:tcBorders>
              <w:left w:val="single" w:sz="8" w:color="CFF0FC"/>
              <w:right w:val="single" w:sz="8" w:color="CFF0FC"/>
            </w:tcBorders>
            <w:shd w:val="clear" w:color="auto" w:fill="CFF0FC"/>
          </w:tcPr>
          <w:p>
            <w:pPr>
              <w:spacing w:after="0"/>
              <w:rPr>
                <w:sz w:val="14"/>
                <w:szCs w:val="14"/>
                <w:color w:val="auto"/>
              </w:rPr>
            </w:pPr>
          </w:p>
        </w:tc>
        <w:tc>
          <w:tcPr>
            <w:tcW w:w="76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1.5%</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97"/>
              </w:rPr>
              <w:t>$   136.8</w:t>
            </w:r>
          </w:p>
        </w:tc>
        <w:tc>
          <w:tcPr>
            <w:tcW w:w="160" w:type="dxa"/>
            <w:vAlign w:val="bottom"/>
            <w:tcBorders>
              <w:right w:val="single" w:sz="8" w:color="CFF0FC"/>
            </w:tcBorders>
            <w:shd w:val="clear" w:color="auto" w:fill="CFF0FC"/>
          </w:tcPr>
          <w:p>
            <w:pPr>
              <w:spacing w:after="0"/>
              <w:rPr>
                <w:sz w:val="14"/>
                <w:szCs w:val="14"/>
                <w:color w:val="auto"/>
              </w:rPr>
            </w:pPr>
          </w:p>
        </w:tc>
        <w:tc>
          <w:tcPr>
            <w:tcW w:w="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72"/>
        </w:trPr>
        <w:tc>
          <w:tcPr>
            <w:tcW w:w="1900" w:type="dxa"/>
            <w:vAlign w:val="bottom"/>
          </w:tcPr>
          <w:p>
            <w:pPr>
              <w:spacing w:after="0"/>
              <w:rPr>
                <w:sz w:val="20"/>
                <w:szCs w:val="20"/>
                <w:color w:val="auto"/>
              </w:rPr>
            </w:pPr>
            <w:r>
              <w:rPr>
                <w:rFonts w:ascii="Times New Roman" w:cs="Times New Roman" w:eastAsia="Times New Roman" w:hAnsi="Times New Roman"/>
                <w:sz w:val="14"/>
                <w:szCs w:val="14"/>
                <w:color w:val="auto"/>
              </w:rPr>
              <w:t>Medicaid</w:t>
            </w: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106.2</w:t>
            </w:r>
          </w:p>
        </w:tc>
        <w:tc>
          <w:tcPr>
            <w:tcW w:w="200" w:type="dxa"/>
            <w:vAlign w:val="bottom"/>
          </w:tcPr>
          <w:p>
            <w:pPr>
              <w:spacing w:after="0"/>
              <w:rPr>
                <w:sz w:val="14"/>
                <w:szCs w:val="14"/>
                <w:color w:val="auto"/>
              </w:rPr>
            </w:pPr>
          </w:p>
        </w:tc>
        <w:tc>
          <w:tcPr>
            <w:tcW w:w="720" w:type="dxa"/>
            <w:vAlign w:val="bottom"/>
            <w:gridSpan w:val="3"/>
          </w:tcPr>
          <w:p>
            <w:pPr>
              <w:ind w:left="300"/>
              <w:spacing w:after="0"/>
              <w:rPr>
                <w:sz w:val="20"/>
                <w:szCs w:val="20"/>
                <w:color w:val="auto"/>
              </w:rPr>
            </w:pPr>
            <w:r>
              <w:rPr>
                <w:rFonts w:ascii="Times New Roman" w:cs="Times New Roman" w:eastAsia="Times New Roman" w:hAnsi="Times New Roman"/>
                <w:sz w:val="14"/>
                <w:szCs w:val="14"/>
                <w:color w:val="auto"/>
              </w:rPr>
              <w:t>2.5%</w:t>
            </w: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128.3</w:t>
            </w:r>
          </w:p>
        </w:tc>
        <w:tc>
          <w:tcPr>
            <w:tcW w:w="20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3.8%</w:t>
            </w: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300.6</w:t>
            </w:r>
          </w:p>
        </w:tc>
        <w:tc>
          <w:tcPr>
            <w:tcW w:w="20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2.6%</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301.9</w:t>
            </w:r>
          </w:p>
        </w:tc>
        <w:tc>
          <w:tcPr>
            <w:tcW w:w="16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172"/>
        </w:trPr>
        <w:tc>
          <w:tcPr>
            <w:tcW w:w="190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Medicare Part A</w:t>
            </w:r>
          </w:p>
        </w:tc>
        <w:tc>
          <w:tcPr>
            <w:tcW w:w="8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183.9</w:t>
            </w:r>
          </w:p>
        </w:tc>
        <w:tc>
          <w:tcPr>
            <w:tcW w:w="200" w:type="dxa"/>
            <w:vAlign w:val="bottom"/>
            <w:tcBorders>
              <w:left w:val="single" w:sz="8" w:color="CFF0FC"/>
              <w:right w:val="single" w:sz="8" w:color="CFF0FC"/>
            </w:tcBorders>
            <w:shd w:val="clear" w:color="auto" w:fill="CFF0FC"/>
          </w:tcPr>
          <w:p>
            <w:pPr>
              <w:spacing w:after="0"/>
              <w:rPr>
                <w:sz w:val="14"/>
                <w:szCs w:val="14"/>
                <w:color w:val="auto"/>
              </w:rPr>
            </w:pPr>
          </w:p>
        </w:tc>
        <w:tc>
          <w:tcPr>
            <w:tcW w:w="720" w:type="dxa"/>
            <w:vAlign w:val="bottom"/>
            <w:tcBorders>
              <w:right w:val="single" w:sz="8" w:color="CFF0FC"/>
            </w:tcBorders>
            <w:gridSpan w:val="3"/>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4.4%</w:t>
            </w:r>
          </w:p>
        </w:tc>
        <w:tc>
          <w:tcPr>
            <w:tcW w:w="120" w:type="dxa"/>
            <w:vAlign w:val="bottom"/>
            <w:tcBorders>
              <w:left w:val="single" w:sz="8" w:color="CFF0FC"/>
            </w:tcBorders>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127.0</w:t>
            </w:r>
          </w:p>
        </w:tc>
        <w:tc>
          <w:tcPr>
            <w:tcW w:w="200" w:type="dxa"/>
            <w:vAlign w:val="bottom"/>
            <w:tcBorders>
              <w:left w:val="single" w:sz="8" w:color="CFF0FC"/>
              <w:right w:val="single" w:sz="8" w:color="CFF0FC"/>
            </w:tcBorders>
            <w:shd w:val="clear" w:color="auto" w:fill="CFF0FC"/>
          </w:tcPr>
          <w:p>
            <w:pPr>
              <w:spacing w:after="0"/>
              <w:rPr>
                <w:sz w:val="14"/>
                <w:szCs w:val="14"/>
                <w:color w:val="auto"/>
              </w:rPr>
            </w:pPr>
          </w:p>
        </w:tc>
        <w:tc>
          <w:tcPr>
            <w:tcW w:w="700" w:type="dxa"/>
            <w:vAlign w:val="bottom"/>
            <w:tcBorders>
              <w:right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3.8%</w:t>
            </w:r>
          </w:p>
        </w:tc>
        <w:tc>
          <w:tcPr>
            <w:tcW w:w="8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528.6</w:t>
            </w:r>
          </w:p>
        </w:tc>
        <w:tc>
          <w:tcPr>
            <w:tcW w:w="200" w:type="dxa"/>
            <w:vAlign w:val="bottom"/>
            <w:tcBorders>
              <w:left w:val="single" w:sz="8" w:color="CFF0FC"/>
              <w:right w:val="single" w:sz="8" w:color="CFF0FC"/>
            </w:tcBorders>
            <w:shd w:val="clear" w:color="auto" w:fill="CFF0FC"/>
          </w:tcPr>
          <w:p>
            <w:pPr>
              <w:spacing w:after="0"/>
              <w:rPr>
                <w:sz w:val="14"/>
                <w:szCs w:val="14"/>
                <w:color w:val="auto"/>
              </w:rPr>
            </w:pPr>
          </w:p>
        </w:tc>
        <w:tc>
          <w:tcPr>
            <w:tcW w:w="76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4.5%</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375.2</w:t>
            </w:r>
          </w:p>
        </w:tc>
        <w:tc>
          <w:tcPr>
            <w:tcW w:w="160" w:type="dxa"/>
            <w:vAlign w:val="bottom"/>
            <w:tcBorders>
              <w:right w:val="single" w:sz="8" w:color="CFF0FC"/>
            </w:tcBorders>
            <w:shd w:val="clear" w:color="auto" w:fill="CFF0FC"/>
          </w:tcPr>
          <w:p>
            <w:pPr>
              <w:spacing w:after="0"/>
              <w:rPr>
                <w:sz w:val="14"/>
                <w:szCs w:val="14"/>
                <w:color w:val="auto"/>
              </w:rPr>
            </w:pPr>
          </w:p>
        </w:tc>
        <w:tc>
          <w:tcPr>
            <w:tcW w:w="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172"/>
        </w:trPr>
        <w:tc>
          <w:tcPr>
            <w:tcW w:w="1900" w:type="dxa"/>
            <w:vAlign w:val="bottom"/>
          </w:tcPr>
          <w:p>
            <w:pPr>
              <w:spacing w:after="0"/>
              <w:rPr>
                <w:sz w:val="20"/>
                <w:szCs w:val="20"/>
                <w:color w:val="auto"/>
              </w:rPr>
            </w:pPr>
            <w:r>
              <w:rPr>
                <w:rFonts w:ascii="Times New Roman" w:cs="Times New Roman" w:eastAsia="Times New Roman" w:hAnsi="Times New Roman"/>
                <w:sz w:val="14"/>
                <w:szCs w:val="14"/>
                <w:color w:val="auto"/>
              </w:rPr>
              <w:t>Medicare Part B</w:t>
            </w: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200" w:type="dxa"/>
            <w:vAlign w:val="bottom"/>
          </w:tcPr>
          <w:p>
            <w:pPr>
              <w:spacing w:after="0"/>
              <w:rPr>
                <w:sz w:val="14"/>
                <w:szCs w:val="14"/>
                <w:color w:val="auto"/>
              </w:rPr>
            </w:pPr>
          </w:p>
        </w:tc>
        <w:tc>
          <w:tcPr>
            <w:tcW w:w="720" w:type="dxa"/>
            <w:vAlign w:val="bottom"/>
            <w:gridSpan w:val="3"/>
          </w:tcPr>
          <w:p>
            <w:pPr>
              <w:ind w:left="300"/>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20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20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0.1%</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6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72"/>
        </w:trPr>
        <w:tc>
          <w:tcPr>
            <w:tcW w:w="190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Medicare Part C</w:t>
            </w:r>
          </w:p>
        </w:tc>
        <w:tc>
          <w:tcPr>
            <w:tcW w:w="8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66.9</w:t>
            </w:r>
          </w:p>
        </w:tc>
        <w:tc>
          <w:tcPr>
            <w:tcW w:w="200" w:type="dxa"/>
            <w:vAlign w:val="bottom"/>
            <w:tcBorders>
              <w:left w:val="single" w:sz="8" w:color="CFF0FC"/>
              <w:right w:val="single" w:sz="8" w:color="CFF0FC"/>
            </w:tcBorders>
            <w:shd w:val="clear" w:color="auto" w:fill="CFF0FC"/>
          </w:tcPr>
          <w:p>
            <w:pPr>
              <w:spacing w:after="0"/>
              <w:rPr>
                <w:sz w:val="14"/>
                <w:szCs w:val="14"/>
                <w:color w:val="auto"/>
              </w:rPr>
            </w:pPr>
          </w:p>
        </w:tc>
        <w:tc>
          <w:tcPr>
            <w:tcW w:w="720" w:type="dxa"/>
            <w:vAlign w:val="bottom"/>
            <w:tcBorders>
              <w:right w:val="single" w:sz="8" w:color="CFF0FC"/>
            </w:tcBorders>
            <w:gridSpan w:val="3"/>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tcBorders>
              <w:left w:val="single" w:sz="8" w:color="CFF0FC"/>
            </w:tcBorders>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28.8</w:t>
            </w:r>
          </w:p>
        </w:tc>
        <w:tc>
          <w:tcPr>
            <w:tcW w:w="200" w:type="dxa"/>
            <w:vAlign w:val="bottom"/>
            <w:tcBorders>
              <w:left w:val="single" w:sz="8" w:color="CFF0FC"/>
              <w:right w:val="single" w:sz="8" w:color="CFF0FC"/>
            </w:tcBorders>
            <w:shd w:val="clear" w:color="auto" w:fill="CFF0FC"/>
          </w:tcPr>
          <w:p>
            <w:pPr>
              <w:spacing w:after="0"/>
              <w:rPr>
                <w:sz w:val="14"/>
                <w:szCs w:val="14"/>
                <w:color w:val="auto"/>
              </w:rPr>
            </w:pPr>
          </w:p>
        </w:tc>
        <w:tc>
          <w:tcPr>
            <w:tcW w:w="700" w:type="dxa"/>
            <w:vAlign w:val="bottom"/>
            <w:tcBorders>
              <w:right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0.9%</w:t>
            </w:r>
          </w:p>
        </w:tc>
        <w:tc>
          <w:tcPr>
            <w:tcW w:w="8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198.3</w:t>
            </w:r>
          </w:p>
        </w:tc>
        <w:tc>
          <w:tcPr>
            <w:tcW w:w="200" w:type="dxa"/>
            <w:vAlign w:val="bottom"/>
            <w:tcBorders>
              <w:left w:val="single" w:sz="8" w:color="CFF0FC"/>
              <w:right w:val="single" w:sz="8" w:color="CFF0FC"/>
            </w:tcBorders>
            <w:shd w:val="clear" w:color="auto" w:fill="CFF0FC"/>
          </w:tcPr>
          <w:p>
            <w:pPr>
              <w:spacing w:after="0"/>
              <w:rPr>
                <w:sz w:val="14"/>
                <w:szCs w:val="14"/>
                <w:color w:val="auto"/>
              </w:rPr>
            </w:pPr>
          </w:p>
        </w:tc>
        <w:tc>
          <w:tcPr>
            <w:tcW w:w="76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1.7%</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96.0</w:t>
            </w:r>
          </w:p>
        </w:tc>
        <w:tc>
          <w:tcPr>
            <w:tcW w:w="160" w:type="dxa"/>
            <w:vAlign w:val="bottom"/>
            <w:tcBorders>
              <w:right w:val="single" w:sz="8" w:color="CFF0FC"/>
            </w:tcBorders>
            <w:shd w:val="clear" w:color="auto" w:fill="CFF0FC"/>
          </w:tcPr>
          <w:p>
            <w:pPr>
              <w:spacing w:after="0"/>
              <w:rPr>
                <w:sz w:val="14"/>
                <w:szCs w:val="14"/>
                <w:color w:val="auto"/>
              </w:rPr>
            </w:pPr>
          </w:p>
        </w:tc>
        <w:tc>
          <w:tcPr>
            <w:tcW w:w="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72"/>
        </w:trPr>
        <w:tc>
          <w:tcPr>
            <w:tcW w:w="1900" w:type="dxa"/>
            <w:vAlign w:val="bottom"/>
          </w:tcPr>
          <w:p>
            <w:pPr>
              <w:spacing w:after="0"/>
              <w:rPr>
                <w:sz w:val="20"/>
                <w:szCs w:val="20"/>
                <w:color w:val="auto"/>
              </w:rPr>
            </w:pPr>
            <w:r>
              <w:rPr>
                <w:rFonts w:ascii="Times New Roman" w:cs="Times New Roman" w:eastAsia="Times New Roman" w:hAnsi="Times New Roman"/>
                <w:sz w:val="14"/>
                <w:szCs w:val="14"/>
                <w:color w:val="auto"/>
              </w:rPr>
              <w:t>Private &amp; other</w:t>
            </w: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58.9</w:t>
            </w:r>
          </w:p>
        </w:tc>
        <w:tc>
          <w:tcPr>
            <w:tcW w:w="200" w:type="dxa"/>
            <w:vAlign w:val="bottom"/>
          </w:tcPr>
          <w:p>
            <w:pPr>
              <w:spacing w:after="0"/>
              <w:rPr>
                <w:sz w:val="14"/>
                <w:szCs w:val="14"/>
                <w:color w:val="auto"/>
              </w:rPr>
            </w:pPr>
          </w:p>
        </w:tc>
        <w:tc>
          <w:tcPr>
            <w:tcW w:w="720" w:type="dxa"/>
            <w:vAlign w:val="bottom"/>
            <w:gridSpan w:val="3"/>
          </w:tcPr>
          <w:p>
            <w:pPr>
              <w:ind w:left="300"/>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20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0.9%</w:t>
            </w: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169.0</w:t>
            </w:r>
          </w:p>
        </w:tc>
        <w:tc>
          <w:tcPr>
            <w:tcW w:w="20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1.5%</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156.2</w:t>
            </w:r>
          </w:p>
        </w:tc>
        <w:tc>
          <w:tcPr>
            <w:tcW w:w="16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20"/>
        </w:trPr>
        <w:tc>
          <w:tcPr>
            <w:tcW w:w="19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900" w:type="dxa"/>
            <w:vAlign w:val="bottom"/>
            <w:tcBorders>
              <w:right w:val="single" w:sz="8" w:color="CFF0FC"/>
            </w:tcBorders>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480.8</w:t>
            </w:r>
          </w:p>
        </w:tc>
        <w:tc>
          <w:tcPr>
            <w:tcW w:w="200" w:type="dxa"/>
            <w:vAlign w:val="bottom"/>
            <w:tcBorders>
              <w:left w:val="single" w:sz="8" w:color="CFF0FC"/>
              <w:right w:val="single" w:sz="8" w:color="CFF0FC"/>
            </w:tcBorders>
            <w:shd w:val="clear" w:color="auto" w:fill="CFF0FC"/>
          </w:tcPr>
          <w:p>
            <w:pPr>
              <w:spacing w:after="0"/>
              <w:rPr>
                <w:sz w:val="15"/>
                <w:szCs w:val="15"/>
                <w:color w:val="auto"/>
              </w:rPr>
            </w:pPr>
          </w:p>
        </w:tc>
        <w:tc>
          <w:tcPr>
            <w:tcW w:w="720" w:type="dxa"/>
            <w:vAlign w:val="bottom"/>
            <w:tcBorders>
              <w:right w:val="single" w:sz="8" w:color="CFF0FC"/>
            </w:tcBorders>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11.4%</w:t>
            </w:r>
          </w:p>
        </w:tc>
        <w:tc>
          <w:tcPr>
            <w:tcW w:w="120" w:type="dxa"/>
            <w:vAlign w:val="bottom"/>
            <w:tcBorders>
              <w:lef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367.1</w:t>
            </w:r>
          </w:p>
        </w:tc>
        <w:tc>
          <w:tcPr>
            <w:tcW w:w="200" w:type="dxa"/>
            <w:vAlign w:val="bottom"/>
            <w:tcBorders>
              <w:left w:val="single" w:sz="8" w:color="CFF0FC"/>
              <w:right w:val="single" w:sz="8" w:color="CFF0FC"/>
            </w:tcBorders>
            <w:shd w:val="clear" w:color="auto" w:fill="CFF0FC"/>
          </w:tcPr>
          <w:p>
            <w:pPr>
              <w:spacing w:after="0"/>
              <w:rPr>
                <w:sz w:val="15"/>
                <w:szCs w:val="15"/>
                <w:color w:val="auto"/>
              </w:rPr>
            </w:pPr>
          </w:p>
        </w:tc>
        <w:tc>
          <w:tcPr>
            <w:tcW w:w="700" w:type="dxa"/>
            <w:vAlign w:val="bottom"/>
            <w:tcBorders>
              <w:right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11.0%</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1,389.1</w:t>
            </w:r>
          </w:p>
        </w:tc>
        <w:tc>
          <w:tcPr>
            <w:tcW w:w="200" w:type="dxa"/>
            <w:vAlign w:val="bottom"/>
            <w:tcBorders>
              <w:left w:val="single" w:sz="8" w:color="CFF0FC"/>
              <w:right w:val="single" w:sz="8" w:color="CFF0FC"/>
            </w:tcBorders>
            <w:shd w:val="clear" w:color="auto" w:fill="CFF0FC"/>
          </w:tcPr>
          <w:p>
            <w:pPr>
              <w:spacing w:after="0"/>
              <w:rPr>
                <w:sz w:val="15"/>
                <w:szCs w:val="15"/>
                <w:color w:val="auto"/>
              </w:rPr>
            </w:pPr>
          </w:p>
        </w:tc>
        <w:tc>
          <w:tcPr>
            <w:tcW w:w="76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11.9%</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91"/>
              </w:rPr>
              <w:t>$ 1,070.7</w:t>
            </w:r>
          </w:p>
        </w:tc>
        <w:tc>
          <w:tcPr>
            <w:tcW w:w="160" w:type="dxa"/>
            <w:vAlign w:val="bottom"/>
            <w:tcBorders>
              <w:right w:val="single" w:sz="8" w:color="CFF0FC"/>
            </w:tcBorders>
            <w:shd w:val="clear" w:color="auto" w:fill="CFF0FC"/>
          </w:tcPr>
          <w:p>
            <w:pPr>
              <w:spacing w:after="0"/>
              <w:rPr>
                <w:sz w:val="15"/>
                <w:szCs w:val="15"/>
                <w:color w:val="auto"/>
              </w:rPr>
            </w:pPr>
          </w:p>
        </w:tc>
        <w:tc>
          <w:tcPr>
            <w:tcW w:w="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11.4%</w:t>
            </w:r>
          </w:p>
        </w:tc>
        <w:tc>
          <w:tcPr>
            <w:tcW w:w="0" w:type="dxa"/>
            <w:vAlign w:val="bottom"/>
          </w:tcPr>
          <w:p>
            <w:pPr>
              <w:spacing w:after="0"/>
              <w:rPr>
                <w:sz w:val="1"/>
                <w:szCs w:val="1"/>
                <w:color w:val="auto"/>
              </w:rPr>
            </w:pPr>
          </w:p>
        </w:tc>
      </w:tr>
      <w:tr>
        <w:trPr>
          <w:trHeight w:val="20"/>
        </w:trPr>
        <w:tc>
          <w:tcPr>
            <w:tcW w:w="190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left w:val="single" w:sz="8" w:color="CFF0FC"/>
              <w:right w:val="single" w:sz="8" w:color="auto"/>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2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left w:val="single" w:sz="8" w:color="CFF0FC"/>
              <w:right w:val="single" w:sz="8" w:color="auto"/>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left w:val="single" w:sz="8" w:color="CFF0FC"/>
              <w:right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left w:val="single" w:sz="8" w:color="CFF0FC"/>
              <w:right w:val="single" w:sz="8" w:color="auto"/>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left w:val="single" w:sz="8" w:color="CFF0FC"/>
              <w:right w:val="single" w:sz="8" w:color="auto"/>
            </w:tcBorders>
            <w:shd w:val="clear" w:color="auto" w:fill="CFF0FC"/>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190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gridSpan w:val="5"/>
          </w:tcPr>
          <w:p>
            <w:pPr>
              <w:jc w:val="center"/>
              <w:ind w:right="380"/>
              <w:spacing w:after="0"/>
              <w:rPr>
                <w:sz w:val="20"/>
                <w:szCs w:val="20"/>
                <w:color w:val="auto"/>
              </w:rPr>
            </w:pPr>
            <w:r>
              <w:rPr>
                <w:rFonts w:ascii="Times New Roman" w:cs="Times New Roman" w:eastAsia="Times New Roman" w:hAnsi="Times New Roman"/>
                <w:sz w:val="11"/>
                <w:szCs w:val="11"/>
                <w:b w:val="1"/>
                <w:bCs w:val="1"/>
                <w:color w:val="auto"/>
              </w:rPr>
              <w:t>Consolidated</w:t>
            </w:r>
          </w:p>
        </w:tc>
        <w:tc>
          <w:tcPr>
            <w:tcW w:w="48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9"/>
        </w:trPr>
        <w:tc>
          <w:tcPr>
            <w:tcW w:w="1900" w:type="dxa"/>
            <w:vAlign w:val="bottom"/>
          </w:tcPr>
          <w:p>
            <w:pPr>
              <w:spacing w:after="0"/>
              <w:rPr>
                <w:sz w:val="9"/>
                <w:szCs w:val="9"/>
                <w:color w:val="auto"/>
              </w:rPr>
            </w:pPr>
          </w:p>
        </w:tc>
        <w:tc>
          <w:tcPr>
            <w:tcW w:w="80" w:type="dxa"/>
            <w:vAlign w:val="bottom"/>
          </w:tcPr>
          <w:p>
            <w:pPr>
              <w:spacing w:after="0"/>
              <w:rPr>
                <w:sz w:val="9"/>
                <w:szCs w:val="9"/>
                <w:color w:val="auto"/>
              </w:rPr>
            </w:pPr>
          </w:p>
        </w:tc>
        <w:tc>
          <w:tcPr>
            <w:tcW w:w="2900" w:type="dxa"/>
            <w:vAlign w:val="bottom"/>
            <w:gridSpan w:val="10"/>
          </w:tcPr>
          <w:p>
            <w:pPr>
              <w:jc w:val="right"/>
              <w:ind w:right="540"/>
              <w:spacing w:after="0" w:line="109" w:lineRule="exact"/>
              <w:rPr>
                <w:sz w:val="20"/>
                <w:szCs w:val="20"/>
                <w:color w:val="auto"/>
              </w:rPr>
            </w:pPr>
            <w:r>
              <w:rPr>
                <w:rFonts w:ascii="Times New Roman" w:cs="Times New Roman" w:eastAsia="Times New Roman" w:hAnsi="Times New Roman"/>
                <w:sz w:val="11"/>
                <w:szCs w:val="11"/>
                <w:b w:val="1"/>
                <w:bCs w:val="1"/>
                <w:color w:val="auto"/>
              </w:rPr>
              <w:t>For the Three Months Ended September 30,</w:t>
            </w:r>
          </w:p>
        </w:tc>
        <w:tc>
          <w:tcPr>
            <w:tcW w:w="80" w:type="dxa"/>
            <w:vAlign w:val="bottom"/>
          </w:tcPr>
          <w:p>
            <w:pPr>
              <w:spacing w:after="0"/>
              <w:rPr>
                <w:sz w:val="9"/>
                <w:szCs w:val="9"/>
                <w:color w:val="auto"/>
              </w:rPr>
            </w:pPr>
          </w:p>
        </w:tc>
        <w:tc>
          <w:tcPr>
            <w:tcW w:w="2640" w:type="dxa"/>
            <w:vAlign w:val="bottom"/>
            <w:gridSpan w:val="7"/>
          </w:tcPr>
          <w:p>
            <w:pPr>
              <w:ind w:left="220"/>
              <w:spacing w:after="0" w:line="109" w:lineRule="exact"/>
              <w:rPr>
                <w:sz w:val="20"/>
                <w:szCs w:val="20"/>
                <w:color w:val="auto"/>
              </w:rPr>
            </w:pPr>
            <w:r>
              <w:rPr>
                <w:rFonts w:ascii="Times New Roman" w:cs="Times New Roman" w:eastAsia="Times New Roman" w:hAnsi="Times New Roman"/>
                <w:sz w:val="11"/>
                <w:szCs w:val="11"/>
                <w:b w:val="1"/>
                <w:bCs w:val="1"/>
                <w:color w:val="auto"/>
              </w:rPr>
              <w:t>For the Nine Months Ended September 30,</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1900" w:type="dxa"/>
            <w:vAlign w:val="bottom"/>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700" w:type="dxa"/>
            <w:vAlign w:val="bottom"/>
            <w:tcBorders>
              <w:top w:val="single" w:sz="8" w:color="auto"/>
              <w:bottom w:val="single" w:sz="8" w:color="auto"/>
            </w:tcBorders>
            <w:gridSpan w:val="2"/>
          </w:tcPr>
          <w:p>
            <w:pPr>
              <w:jc w:val="right"/>
              <w:ind w:right="20"/>
              <w:spacing w:after="0" w:line="109" w:lineRule="exact"/>
              <w:rPr>
                <w:sz w:val="20"/>
                <w:szCs w:val="20"/>
                <w:color w:val="auto"/>
              </w:rPr>
            </w:pPr>
            <w:r>
              <w:rPr>
                <w:rFonts w:ascii="Times New Roman" w:cs="Times New Roman" w:eastAsia="Times New Roman" w:hAnsi="Times New Roman"/>
                <w:sz w:val="11"/>
                <w:szCs w:val="11"/>
                <w:b w:val="1"/>
                <w:bCs w:val="1"/>
                <w:color w:val="auto"/>
              </w:rPr>
              <w:t>2026</w:t>
            </w:r>
          </w:p>
        </w:tc>
        <w:tc>
          <w:tcPr>
            <w:tcW w:w="480" w:type="dxa"/>
            <w:vAlign w:val="bottom"/>
            <w:tcBorders>
              <w:top w:val="single" w:sz="8" w:color="auto"/>
              <w:bottom w:val="single" w:sz="8" w:color="auto"/>
            </w:tcBorders>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120" w:type="dxa"/>
            <w:vAlign w:val="bottom"/>
            <w:tcBorders>
              <w:top w:val="single" w:sz="8" w:color="auto"/>
              <w:bottom w:val="single" w:sz="8" w:color="auto"/>
            </w:tcBorders>
          </w:tcPr>
          <w:p>
            <w:pPr>
              <w:spacing w:after="0"/>
              <w:rPr>
                <w:sz w:val="9"/>
                <w:szCs w:val="9"/>
                <w:color w:val="auto"/>
              </w:rPr>
            </w:pPr>
          </w:p>
        </w:tc>
        <w:tc>
          <w:tcPr>
            <w:tcW w:w="660" w:type="dxa"/>
            <w:vAlign w:val="bottom"/>
            <w:tcBorders>
              <w:top w:val="single" w:sz="8" w:color="auto"/>
              <w:bottom w:val="single" w:sz="8" w:color="auto"/>
            </w:tcBorders>
            <w:gridSpan w:val="2"/>
          </w:tcPr>
          <w:p>
            <w:pPr>
              <w:jc w:val="right"/>
              <w:ind w:right="20"/>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480" w:type="dxa"/>
            <w:vAlign w:val="bottom"/>
            <w:tcBorders>
              <w:top w:val="single" w:sz="8" w:color="auto"/>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720" w:type="dxa"/>
            <w:vAlign w:val="bottom"/>
            <w:tcBorders>
              <w:top w:val="single" w:sz="8" w:color="auto"/>
              <w:bottom w:val="single" w:sz="8" w:color="auto"/>
            </w:tcBorders>
            <w:gridSpan w:val="2"/>
          </w:tcPr>
          <w:p>
            <w:pPr>
              <w:jc w:val="right"/>
              <w:ind w:right="60"/>
              <w:spacing w:after="0" w:line="109" w:lineRule="exact"/>
              <w:rPr>
                <w:sz w:val="20"/>
                <w:szCs w:val="20"/>
                <w:color w:val="auto"/>
              </w:rPr>
            </w:pPr>
            <w:r>
              <w:rPr>
                <w:rFonts w:ascii="Times New Roman" w:cs="Times New Roman" w:eastAsia="Times New Roman" w:hAnsi="Times New Roman"/>
                <w:sz w:val="11"/>
                <w:szCs w:val="11"/>
                <w:b w:val="1"/>
                <w:bCs w:val="1"/>
                <w:color w:val="auto"/>
              </w:rPr>
              <w:t>2026</w:t>
            </w:r>
          </w:p>
        </w:tc>
        <w:tc>
          <w:tcPr>
            <w:tcW w:w="480" w:type="dxa"/>
            <w:vAlign w:val="bottom"/>
            <w:tcBorders>
              <w:top w:val="single" w:sz="8" w:color="auto"/>
              <w:bottom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680" w:type="dxa"/>
            <w:vAlign w:val="bottom"/>
            <w:tcBorders>
              <w:top w:val="single" w:sz="8" w:color="auto"/>
              <w:bottom w:val="single" w:sz="8" w:color="auto"/>
            </w:tcBorders>
            <w:gridSpan w:val="2"/>
          </w:tcPr>
          <w:p>
            <w:pPr>
              <w:jc w:val="right"/>
              <w:ind w:right="20"/>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480" w:type="dxa"/>
            <w:vAlign w:val="bottom"/>
            <w:tcBorders>
              <w:top w:val="single" w:sz="8" w:color="auto"/>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190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Revenue</w:t>
            </w:r>
          </w:p>
        </w:tc>
        <w:tc>
          <w:tcPr>
            <w:tcW w:w="200" w:type="dxa"/>
            <w:vAlign w:val="bottom"/>
            <w:vMerge w:val="restart"/>
          </w:tcPr>
          <w:p>
            <w:pPr>
              <w:spacing w:after="0"/>
              <w:rPr>
                <w:sz w:val="7"/>
                <w:szCs w:val="7"/>
                <w:color w:val="auto"/>
              </w:rPr>
            </w:pPr>
          </w:p>
        </w:tc>
        <w:tc>
          <w:tcPr>
            <w:tcW w:w="560" w:type="dxa"/>
            <w:vAlign w:val="bottom"/>
            <w:gridSpan w:val="2"/>
          </w:tcPr>
          <w:p>
            <w:pPr>
              <w:jc w:val="center"/>
              <w:ind w:right="80"/>
              <w:spacing w:after="0" w:line="90" w:lineRule="exact"/>
              <w:rPr>
                <w:sz w:val="20"/>
                <w:szCs w:val="20"/>
                <w:color w:val="auto"/>
              </w:rPr>
            </w:pPr>
            <w:r>
              <w:rPr>
                <w:rFonts w:ascii="Times New Roman" w:cs="Times New Roman" w:eastAsia="Times New Roman" w:hAnsi="Times New Roman"/>
                <w:sz w:val="10"/>
                <w:szCs w:val="10"/>
                <w:b w:val="1"/>
                <w:bCs w:val="1"/>
                <w:color w:val="auto"/>
              </w:rPr>
              <w:t>% of</w:t>
            </w:r>
          </w:p>
        </w:tc>
        <w:tc>
          <w:tcPr>
            <w:tcW w:w="160" w:type="dxa"/>
            <w:vAlign w:val="bottom"/>
          </w:tcPr>
          <w:p>
            <w:pPr>
              <w:spacing w:after="0"/>
              <w:rPr>
                <w:sz w:val="7"/>
                <w:szCs w:val="7"/>
                <w:color w:val="auto"/>
              </w:rPr>
            </w:pPr>
          </w:p>
        </w:tc>
        <w:tc>
          <w:tcPr>
            <w:tcW w:w="5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Revenue</w:t>
            </w:r>
          </w:p>
        </w:tc>
        <w:tc>
          <w:tcPr>
            <w:tcW w:w="200" w:type="dxa"/>
            <w:vAlign w:val="bottom"/>
            <w:vMerge w:val="restart"/>
          </w:tcPr>
          <w:p>
            <w:pPr>
              <w:spacing w:after="0"/>
              <w:rPr>
                <w:sz w:val="7"/>
                <w:szCs w:val="7"/>
                <w:color w:val="auto"/>
              </w:rPr>
            </w:pPr>
          </w:p>
        </w:tc>
        <w:tc>
          <w:tcPr>
            <w:tcW w:w="480" w:type="dxa"/>
            <w:vAlign w:val="bottom"/>
          </w:tcPr>
          <w:p>
            <w:pPr>
              <w:jc w:val="center"/>
              <w:ind w:right="13"/>
              <w:spacing w:after="0" w:line="90" w:lineRule="exact"/>
              <w:rPr>
                <w:sz w:val="20"/>
                <w:szCs w:val="20"/>
                <w:color w:val="auto"/>
              </w:rPr>
            </w:pPr>
            <w:r>
              <w:rPr>
                <w:rFonts w:ascii="Times New Roman" w:cs="Times New Roman" w:eastAsia="Times New Roman" w:hAnsi="Times New Roman"/>
                <w:sz w:val="10"/>
                <w:szCs w:val="10"/>
                <w:b w:val="1"/>
                <w:bCs w:val="1"/>
                <w:color w:val="auto"/>
              </w:rPr>
              <w:t>% of</w:t>
            </w: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restart"/>
          </w:tcPr>
          <w:p>
            <w:pPr>
              <w:jc w:val="right"/>
              <w:ind w:right="32"/>
              <w:spacing w:after="0"/>
              <w:rPr>
                <w:sz w:val="20"/>
                <w:szCs w:val="20"/>
                <w:color w:val="auto"/>
              </w:rPr>
            </w:pPr>
            <w:r>
              <w:rPr>
                <w:rFonts w:ascii="Times New Roman" w:cs="Times New Roman" w:eastAsia="Times New Roman" w:hAnsi="Times New Roman"/>
                <w:sz w:val="11"/>
                <w:szCs w:val="11"/>
                <w:b w:val="1"/>
                <w:bCs w:val="1"/>
                <w:color w:val="auto"/>
                <w:w w:val="99"/>
              </w:rPr>
              <w:t>Revenue</w:t>
            </w:r>
          </w:p>
        </w:tc>
        <w:tc>
          <w:tcPr>
            <w:tcW w:w="200" w:type="dxa"/>
            <w:vAlign w:val="bottom"/>
            <w:vMerge w:val="restart"/>
          </w:tcPr>
          <w:p>
            <w:pPr>
              <w:spacing w:after="0"/>
              <w:rPr>
                <w:sz w:val="7"/>
                <w:szCs w:val="7"/>
                <w:color w:val="auto"/>
              </w:rPr>
            </w:pPr>
          </w:p>
        </w:tc>
        <w:tc>
          <w:tcPr>
            <w:tcW w:w="480" w:type="dxa"/>
            <w:vAlign w:val="bottom"/>
          </w:tcPr>
          <w:p>
            <w:pPr>
              <w:jc w:val="center"/>
              <w:ind w:right="12"/>
              <w:spacing w:after="0" w:line="90" w:lineRule="exact"/>
              <w:rPr>
                <w:sz w:val="20"/>
                <w:szCs w:val="20"/>
                <w:color w:val="auto"/>
              </w:rPr>
            </w:pPr>
            <w:r>
              <w:rPr>
                <w:rFonts w:ascii="Times New Roman" w:cs="Times New Roman" w:eastAsia="Times New Roman" w:hAnsi="Times New Roman"/>
                <w:sz w:val="10"/>
                <w:szCs w:val="10"/>
                <w:b w:val="1"/>
                <w:bCs w:val="1"/>
                <w:color w:val="auto"/>
              </w:rPr>
              <w:t>% of</w:t>
            </w:r>
          </w:p>
        </w:tc>
        <w:tc>
          <w:tcPr>
            <w:tcW w:w="280" w:type="dxa"/>
            <w:vAlign w:val="bottom"/>
          </w:tcPr>
          <w:p>
            <w:pPr>
              <w:spacing w:after="0"/>
              <w:rPr>
                <w:sz w:val="7"/>
                <w:szCs w:val="7"/>
                <w:color w:val="auto"/>
              </w:rPr>
            </w:pPr>
          </w:p>
        </w:tc>
        <w:tc>
          <w:tcPr>
            <w:tcW w:w="520" w:type="dxa"/>
            <w:vAlign w:val="bottom"/>
            <w:vMerge w:val="restart"/>
          </w:tcPr>
          <w:p>
            <w:pPr>
              <w:jc w:val="right"/>
              <w:ind w:right="11"/>
              <w:spacing w:after="0"/>
              <w:rPr>
                <w:sz w:val="20"/>
                <w:szCs w:val="20"/>
                <w:color w:val="auto"/>
              </w:rPr>
            </w:pPr>
            <w:r>
              <w:rPr>
                <w:rFonts w:ascii="Times New Roman" w:cs="Times New Roman" w:eastAsia="Times New Roman" w:hAnsi="Times New Roman"/>
                <w:sz w:val="11"/>
                <w:szCs w:val="11"/>
                <w:b w:val="1"/>
                <w:bCs w:val="1"/>
                <w:color w:val="auto"/>
              </w:rPr>
              <w:t>Revenue</w:t>
            </w:r>
          </w:p>
        </w:tc>
        <w:tc>
          <w:tcPr>
            <w:tcW w:w="160" w:type="dxa"/>
            <w:vAlign w:val="bottom"/>
            <w:vMerge w:val="restart"/>
          </w:tcPr>
          <w:p>
            <w:pPr>
              <w:spacing w:after="0"/>
              <w:rPr>
                <w:sz w:val="7"/>
                <w:szCs w:val="7"/>
                <w:color w:val="auto"/>
              </w:rPr>
            </w:pPr>
          </w:p>
        </w:tc>
        <w:tc>
          <w:tcPr>
            <w:tcW w:w="480" w:type="dxa"/>
            <w:vAlign w:val="bottom"/>
          </w:tcPr>
          <w:p>
            <w:pPr>
              <w:jc w:val="center"/>
              <w:spacing w:after="0" w:line="90" w:lineRule="exact"/>
              <w:rPr>
                <w:sz w:val="20"/>
                <w:szCs w:val="20"/>
                <w:color w:val="auto"/>
              </w:rPr>
            </w:pPr>
            <w:r>
              <w:rPr>
                <w:rFonts w:ascii="Times New Roman" w:cs="Times New Roman" w:eastAsia="Times New Roman" w:hAnsi="Times New Roman"/>
                <w:sz w:val="10"/>
                <w:szCs w:val="10"/>
                <w:b w:val="1"/>
                <w:bCs w:val="1"/>
                <w:color w:val="auto"/>
              </w:rPr>
              <w:t>% of</w:t>
            </w: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7"/>
        </w:trPr>
        <w:tc>
          <w:tcPr>
            <w:tcW w:w="19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vMerge w:val="continue"/>
          </w:tcPr>
          <w:p>
            <w:pPr>
              <w:spacing w:after="0"/>
              <w:rPr>
                <w:sz w:val="11"/>
                <w:szCs w:val="11"/>
                <w:color w:val="auto"/>
              </w:rPr>
            </w:pPr>
          </w:p>
        </w:tc>
        <w:tc>
          <w:tcPr>
            <w:tcW w:w="200" w:type="dxa"/>
            <w:vAlign w:val="bottom"/>
            <w:vMerge w:val="continue"/>
          </w:tcPr>
          <w:p>
            <w:pPr>
              <w:spacing w:after="0"/>
              <w:rPr>
                <w:sz w:val="11"/>
                <w:szCs w:val="11"/>
                <w:color w:val="auto"/>
              </w:rPr>
            </w:pPr>
          </w:p>
        </w:tc>
        <w:tc>
          <w:tcPr>
            <w:tcW w:w="5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Revenue</w:t>
            </w:r>
          </w:p>
        </w:tc>
        <w:tc>
          <w:tcPr>
            <w:tcW w:w="160" w:type="dxa"/>
            <w:vAlign w:val="bottom"/>
          </w:tcPr>
          <w:p>
            <w:pPr>
              <w:spacing w:after="0"/>
              <w:rPr>
                <w:sz w:val="11"/>
                <w:szCs w:val="11"/>
                <w:color w:val="auto"/>
              </w:rPr>
            </w:pPr>
          </w:p>
        </w:tc>
        <w:tc>
          <w:tcPr>
            <w:tcW w:w="580" w:type="dxa"/>
            <w:vAlign w:val="bottom"/>
            <w:tcBorders>
              <w:bottom w:val="single" w:sz="8" w:color="auto"/>
            </w:tcBorders>
            <w:gridSpan w:val="2"/>
            <w:vMerge w:val="continue"/>
          </w:tcPr>
          <w:p>
            <w:pPr>
              <w:spacing w:after="0"/>
              <w:rPr>
                <w:sz w:val="11"/>
                <w:szCs w:val="11"/>
                <w:color w:val="auto"/>
              </w:rPr>
            </w:pPr>
          </w:p>
        </w:tc>
        <w:tc>
          <w:tcPr>
            <w:tcW w:w="200" w:type="dxa"/>
            <w:vAlign w:val="bottom"/>
            <w:vMerge w:val="continue"/>
          </w:tcPr>
          <w:p>
            <w:pPr>
              <w:spacing w:after="0"/>
              <w:rPr>
                <w:sz w:val="11"/>
                <w:szCs w:val="11"/>
                <w:color w:val="auto"/>
              </w:rPr>
            </w:pPr>
          </w:p>
        </w:tc>
        <w:tc>
          <w:tcPr>
            <w:tcW w:w="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Revenue</w:t>
            </w: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vMerge w:val="continue"/>
          </w:tcPr>
          <w:p>
            <w:pPr>
              <w:spacing w:after="0"/>
              <w:rPr>
                <w:sz w:val="11"/>
                <w:szCs w:val="11"/>
                <w:color w:val="auto"/>
              </w:rPr>
            </w:pPr>
          </w:p>
        </w:tc>
        <w:tc>
          <w:tcPr>
            <w:tcW w:w="200" w:type="dxa"/>
            <w:vAlign w:val="bottom"/>
            <w:vMerge w:val="continue"/>
          </w:tcPr>
          <w:p>
            <w:pPr>
              <w:spacing w:after="0"/>
              <w:rPr>
                <w:sz w:val="11"/>
                <w:szCs w:val="11"/>
                <w:color w:val="auto"/>
              </w:rPr>
            </w:pPr>
          </w:p>
        </w:tc>
        <w:tc>
          <w:tcPr>
            <w:tcW w:w="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Revenue</w:t>
            </w:r>
          </w:p>
        </w:tc>
        <w:tc>
          <w:tcPr>
            <w:tcW w:w="280" w:type="dxa"/>
            <w:vAlign w:val="bottom"/>
          </w:tcPr>
          <w:p>
            <w:pPr>
              <w:spacing w:after="0"/>
              <w:rPr>
                <w:sz w:val="11"/>
                <w:szCs w:val="11"/>
                <w:color w:val="auto"/>
              </w:rPr>
            </w:pPr>
          </w:p>
        </w:tc>
        <w:tc>
          <w:tcPr>
            <w:tcW w:w="520" w:type="dxa"/>
            <w:vAlign w:val="bottom"/>
            <w:tcBorders>
              <w:bottom w:val="single" w:sz="8" w:color="auto"/>
            </w:tcBorders>
            <w:vMerge w:val="continue"/>
          </w:tcPr>
          <w:p>
            <w:pPr>
              <w:spacing w:after="0"/>
              <w:rPr>
                <w:sz w:val="11"/>
                <w:szCs w:val="11"/>
                <w:color w:val="auto"/>
              </w:rPr>
            </w:pPr>
          </w:p>
        </w:tc>
        <w:tc>
          <w:tcPr>
            <w:tcW w:w="160" w:type="dxa"/>
            <w:vAlign w:val="bottom"/>
            <w:vMerge w:val="continue"/>
          </w:tcPr>
          <w:p>
            <w:pPr>
              <w:spacing w:after="0"/>
              <w:rPr>
                <w:sz w:val="11"/>
                <w:szCs w:val="11"/>
                <w:color w:val="auto"/>
              </w:rPr>
            </w:pPr>
          </w:p>
        </w:tc>
        <w:tc>
          <w:tcPr>
            <w:tcW w:w="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Revenue</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190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Commercial insurance</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1,245.7</w:t>
            </w:r>
          </w:p>
        </w:tc>
        <w:tc>
          <w:tcPr>
            <w:tcW w:w="200" w:type="dxa"/>
            <w:vAlign w:val="bottom"/>
            <w:tcBorders>
              <w:left w:val="single" w:sz="8" w:color="CFF0FC"/>
              <w:right w:val="single" w:sz="8" w:color="CFF0FC"/>
            </w:tcBorders>
            <w:shd w:val="clear" w:color="auto" w:fill="CFF0FC"/>
          </w:tcPr>
          <w:p>
            <w:pPr>
              <w:spacing w:after="0"/>
              <w:rPr>
                <w:sz w:val="14"/>
                <w:szCs w:val="14"/>
                <w:color w:val="auto"/>
              </w:rPr>
            </w:pPr>
          </w:p>
        </w:tc>
        <w:tc>
          <w:tcPr>
            <w:tcW w:w="720" w:type="dxa"/>
            <w:vAlign w:val="bottom"/>
            <w:tcBorders>
              <w:right w:val="single" w:sz="8" w:color="CFF0FC"/>
            </w:tcBorders>
            <w:gridSpan w:val="3"/>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29.6%</w:t>
            </w:r>
          </w:p>
        </w:tc>
        <w:tc>
          <w:tcPr>
            <w:tcW w:w="120" w:type="dxa"/>
            <w:vAlign w:val="bottom"/>
            <w:tcBorders>
              <w:lef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869.6</w:t>
            </w:r>
          </w:p>
        </w:tc>
        <w:tc>
          <w:tcPr>
            <w:tcW w:w="200" w:type="dxa"/>
            <w:vAlign w:val="bottom"/>
            <w:tcBorders>
              <w:left w:val="single" w:sz="8" w:color="CFF0FC"/>
              <w:right w:val="single" w:sz="8" w:color="CFF0FC"/>
            </w:tcBorders>
            <w:shd w:val="clear" w:color="auto" w:fill="CFF0FC"/>
          </w:tcPr>
          <w:p>
            <w:pPr>
              <w:spacing w:after="0"/>
              <w:rPr>
                <w:sz w:val="14"/>
                <w:szCs w:val="14"/>
                <w:color w:val="auto"/>
              </w:rPr>
            </w:pPr>
          </w:p>
        </w:tc>
        <w:tc>
          <w:tcPr>
            <w:tcW w:w="700" w:type="dxa"/>
            <w:vAlign w:val="bottom"/>
            <w:tcBorders>
              <w:right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26.0%</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3,372.5</w:t>
            </w:r>
          </w:p>
        </w:tc>
        <w:tc>
          <w:tcPr>
            <w:tcW w:w="200" w:type="dxa"/>
            <w:vAlign w:val="bottom"/>
            <w:tcBorders>
              <w:left w:val="single" w:sz="8" w:color="CFF0FC"/>
              <w:right w:val="single" w:sz="8" w:color="CFF0FC"/>
            </w:tcBorders>
            <w:shd w:val="clear" w:color="auto" w:fill="CFF0FC"/>
          </w:tcPr>
          <w:p>
            <w:pPr>
              <w:spacing w:after="0"/>
              <w:rPr>
                <w:sz w:val="14"/>
                <w:szCs w:val="14"/>
                <w:color w:val="auto"/>
              </w:rPr>
            </w:pPr>
          </w:p>
        </w:tc>
        <w:tc>
          <w:tcPr>
            <w:tcW w:w="76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28.8%</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91"/>
              </w:rPr>
              <w:t>$ 2,371.6</w:t>
            </w:r>
          </w:p>
        </w:tc>
        <w:tc>
          <w:tcPr>
            <w:tcW w:w="160" w:type="dxa"/>
            <w:vAlign w:val="bottom"/>
            <w:tcBorders>
              <w:right w:val="single" w:sz="8" w:color="CFF0FC"/>
            </w:tcBorders>
            <w:shd w:val="clear" w:color="auto" w:fill="CFF0FC"/>
          </w:tcPr>
          <w:p>
            <w:pPr>
              <w:spacing w:after="0"/>
              <w:rPr>
                <w:sz w:val="14"/>
                <w:szCs w:val="14"/>
                <w:color w:val="auto"/>
              </w:rPr>
            </w:pPr>
          </w:p>
        </w:tc>
        <w:tc>
          <w:tcPr>
            <w:tcW w:w="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25.4%</w:t>
            </w:r>
          </w:p>
        </w:tc>
        <w:tc>
          <w:tcPr>
            <w:tcW w:w="0" w:type="dxa"/>
            <w:vAlign w:val="bottom"/>
          </w:tcPr>
          <w:p>
            <w:pPr>
              <w:spacing w:after="0"/>
              <w:rPr>
                <w:sz w:val="1"/>
                <w:szCs w:val="1"/>
                <w:color w:val="auto"/>
              </w:rPr>
            </w:pPr>
          </w:p>
        </w:tc>
      </w:tr>
      <w:tr>
        <w:trPr>
          <w:trHeight w:val="172"/>
        </w:trPr>
        <w:tc>
          <w:tcPr>
            <w:tcW w:w="1900" w:type="dxa"/>
            <w:vAlign w:val="bottom"/>
          </w:tcPr>
          <w:p>
            <w:pPr>
              <w:spacing w:after="0"/>
              <w:rPr>
                <w:sz w:val="20"/>
                <w:szCs w:val="20"/>
                <w:color w:val="auto"/>
              </w:rPr>
            </w:pPr>
            <w:r>
              <w:rPr>
                <w:rFonts w:ascii="Times New Roman" w:cs="Times New Roman" w:eastAsia="Times New Roman" w:hAnsi="Times New Roman"/>
                <w:sz w:val="14"/>
                <w:szCs w:val="14"/>
                <w:color w:val="auto"/>
              </w:rPr>
              <w:t>Medicaid</w:t>
            </w: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482.2</w:t>
            </w:r>
          </w:p>
        </w:tc>
        <w:tc>
          <w:tcPr>
            <w:tcW w:w="200" w:type="dxa"/>
            <w:vAlign w:val="bottom"/>
          </w:tcPr>
          <w:p>
            <w:pPr>
              <w:spacing w:after="0"/>
              <w:rPr>
                <w:sz w:val="14"/>
                <w:szCs w:val="14"/>
                <w:color w:val="auto"/>
              </w:rPr>
            </w:pPr>
          </w:p>
        </w:tc>
        <w:tc>
          <w:tcPr>
            <w:tcW w:w="720" w:type="dxa"/>
            <w:vAlign w:val="bottom"/>
            <w:gridSpan w:val="3"/>
          </w:tcPr>
          <w:p>
            <w:pPr>
              <w:ind w:left="280"/>
              <w:spacing w:after="0"/>
              <w:rPr>
                <w:sz w:val="20"/>
                <w:szCs w:val="20"/>
                <w:color w:val="auto"/>
              </w:rPr>
            </w:pPr>
            <w:r>
              <w:rPr>
                <w:rFonts w:ascii="Times New Roman" w:cs="Times New Roman" w:eastAsia="Times New Roman" w:hAnsi="Times New Roman"/>
                <w:sz w:val="14"/>
                <w:szCs w:val="14"/>
                <w:color w:val="auto"/>
              </w:rPr>
              <w:t>11.4%</w:t>
            </w: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415.7</w:t>
            </w:r>
          </w:p>
        </w:tc>
        <w:tc>
          <w:tcPr>
            <w:tcW w:w="20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12.4%</w:t>
            </w: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1,324.5</w:t>
            </w:r>
          </w:p>
        </w:tc>
        <w:tc>
          <w:tcPr>
            <w:tcW w:w="20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11.4%</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1,093.7</w:t>
            </w:r>
          </w:p>
        </w:tc>
        <w:tc>
          <w:tcPr>
            <w:tcW w:w="16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11.7%</w:t>
            </w:r>
          </w:p>
        </w:tc>
        <w:tc>
          <w:tcPr>
            <w:tcW w:w="0" w:type="dxa"/>
            <w:vAlign w:val="bottom"/>
          </w:tcPr>
          <w:p>
            <w:pPr>
              <w:spacing w:after="0"/>
              <w:rPr>
                <w:sz w:val="1"/>
                <w:szCs w:val="1"/>
                <w:color w:val="auto"/>
              </w:rPr>
            </w:pPr>
          </w:p>
        </w:tc>
      </w:tr>
      <w:tr>
        <w:trPr>
          <w:trHeight w:val="172"/>
        </w:trPr>
        <w:tc>
          <w:tcPr>
            <w:tcW w:w="190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Medicare Part A</w:t>
            </w:r>
          </w:p>
        </w:tc>
        <w:tc>
          <w:tcPr>
            <w:tcW w:w="8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318.9</w:t>
            </w:r>
          </w:p>
        </w:tc>
        <w:tc>
          <w:tcPr>
            <w:tcW w:w="200" w:type="dxa"/>
            <w:vAlign w:val="bottom"/>
            <w:tcBorders>
              <w:left w:val="single" w:sz="8" w:color="CFF0FC"/>
              <w:right w:val="single" w:sz="8" w:color="CFF0FC"/>
            </w:tcBorders>
            <w:shd w:val="clear" w:color="auto" w:fill="CFF0FC"/>
          </w:tcPr>
          <w:p>
            <w:pPr>
              <w:spacing w:after="0"/>
              <w:rPr>
                <w:sz w:val="14"/>
                <w:szCs w:val="14"/>
                <w:color w:val="auto"/>
              </w:rPr>
            </w:pPr>
          </w:p>
        </w:tc>
        <w:tc>
          <w:tcPr>
            <w:tcW w:w="720" w:type="dxa"/>
            <w:vAlign w:val="bottom"/>
            <w:tcBorders>
              <w:right w:val="single" w:sz="8" w:color="CFF0FC"/>
            </w:tcBorders>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7.6%</w:t>
            </w:r>
          </w:p>
        </w:tc>
        <w:tc>
          <w:tcPr>
            <w:tcW w:w="120" w:type="dxa"/>
            <w:vAlign w:val="bottom"/>
            <w:tcBorders>
              <w:left w:val="single" w:sz="8" w:color="CFF0FC"/>
            </w:tcBorders>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270.0</w:t>
            </w:r>
          </w:p>
        </w:tc>
        <w:tc>
          <w:tcPr>
            <w:tcW w:w="200" w:type="dxa"/>
            <w:vAlign w:val="bottom"/>
            <w:tcBorders>
              <w:left w:val="single" w:sz="8" w:color="CFF0FC"/>
              <w:right w:val="single" w:sz="8" w:color="CFF0FC"/>
            </w:tcBorders>
            <w:shd w:val="clear" w:color="auto" w:fill="CFF0FC"/>
          </w:tcPr>
          <w:p>
            <w:pPr>
              <w:spacing w:after="0"/>
              <w:rPr>
                <w:sz w:val="14"/>
                <w:szCs w:val="14"/>
                <w:color w:val="auto"/>
              </w:rPr>
            </w:pPr>
          </w:p>
        </w:tc>
        <w:tc>
          <w:tcPr>
            <w:tcW w:w="700" w:type="dxa"/>
            <w:vAlign w:val="bottom"/>
            <w:tcBorders>
              <w:right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8.1%</w:t>
            </w:r>
          </w:p>
        </w:tc>
        <w:tc>
          <w:tcPr>
            <w:tcW w:w="8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937.6</w:t>
            </w:r>
          </w:p>
        </w:tc>
        <w:tc>
          <w:tcPr>
            <w:tcW w:w="200" w:type="dxa"/>
            <w:vAlign w:val="bottom"/>
            <w:tcBorders>
              <w:left w:val="single" w:sz="8" w:color="CFF0FC"/>
              <w:right w:val="single" w:sz="8" w:color="CFF0FC"/>
            </w:tcBorders>
            <w:shd w:val="clear" w:color="auto" w:fill="CFF0FC"/>
          </w:tcPr>
          <w:p>
            <w:pPr>
              <w:spacing w:after="0"/>
              <w:rPr>
                <w:sz w:val="14"/>
                <w:szCs w:val="14"/>
                <w:color w:val="auto"/>
              </w:rPr>
            </w:pPr>
          </w:p>
        </w:tc>
        <w:tc>
          <w:tcPr>
            <w:tcW w:w="76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8.0%</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797.5</w:t>
            </w:r>
          </w:p>
        </w:tc>
        <w:tc>
          <w:tcPr>
            <w:tcW w:w="160" w:type="dxa"/>
            <w:vAlign w:val="bottom"/>
            <w:tcBorders>
              <w:right w:val="single" w:sz="8" w:color="CFF0FC"/>
            </w:tcBorders>
            <w:shd w:val="clear" w:color="auto" w:fill="CFF0FC"/>
          </w:tcPr>
          <w:p>
            <w:pPr>
              <w:spacing w:after="0"/>
              <w:rPr>
                <w:sz w:val="14"/>
                <w:szCs w:val="14"/>
                <w:color w:val="auto"/>
              </w:rPr>
            </w:pPr>
          </w:p>
        </w:tc>
        <w:tc>
          <w:tcPr>
            <w:tcW w:w="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8.5%</w:t>
            </w:r>
          </w:p>
        </w:tc>
        <w:tc>
          <w:tcPr>
            <w:tcW w:w="0" w:type="dxa"/>
            <w:vAlign w:val="bottom"/>
          </w:tcPr>
          <w:p>
            <w:pPr>
              <w:spacing w:after="0"/>
              <w:rPr>
                <w:sz w:val="1"/>
                <w:szCs w:val="1"/>
                <w:color w:val="auto"/>
              </w:rPr>
            </w:pPr>
          </w:p>
        </w:tc>
      </w:tr>
      <w:tr>
        <w:trPr>
          <w:trHeight w:val="172"/>
        </w:trPr>
        <w:tc>
          <w:tcPr>
            <w:tcW w:w="1900" w:type="dxa"/>
            <w:vAlign w:val="bottom"/>
          </w:tcPr>
          <w:p>
            <w:pPr>
              <w:spacing w:after="0"/>
              <w:rPr>
                <w:sz w:val="20"/>
                <w:szCs w:val="20"/>
                <w:color w:val="auto"/>
              </w:rPr>
            </w:pPr>
            <w:r>
              <w:rPr>
                <w:rFonts w:ascii="Times New Roman" w:cs="Times New Roman" w:eastAsia="Times New Roman" w:hAnsi="Times New Roman"/>
                <w:sz w:val="14"/>
                <w:szCs w:val="14"/>
                <w:color w:val="auto"/>
              </w:rPr>
              <w:t>Medicare Part B</w:t>
            </w: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200" w:type="dxa"/>
            <w:vAlign w:val="bottom"/>
          </w:tcPr>
          <w:p>
            <w:pPr>
              <w:spacing w:after="0"/>
              <w:rPr>
                <w:sz w:val="14"/>
                <w:szCs w:val="14"/>
                <w:color w:val="auto"/>
              </w:rPr>
            </w:pPr>
          </w:p>
        </w:tc>
        <w:tc>
          <w:tcPr>
            <w:tcW w:w="72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0.5%</w:t>
            </w: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w:t>
            </w:r>
          </w:p>
        </w:tc>
        <w:tc>
          <w:tcPr>
            <w:tcW w:w="20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0.7%</w:t>
            </w: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74.1</w:t>
            </w:r>
          </w:p>
        </w:tc>
        <w:tc>
          <w:tcPr>
            <w:tcW w:w="20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0.6%</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61.5</w:t>
            </w:r>
          </w:p>
        </w:tc>
        <w:tc>
          <w:tcPr>
            <w:tcW w:w="16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0.6%</w:t>
            </w:r>
          </w:p>
        </w:tc>
        <w:tc>
          <w:tcPr>
            <w:tcW w:w="0" w:type="dxa"/>
            <w:vAlign w:val="bottom"/>
          </w:tcPr>
          <w:p>
            <w:pPr>
              <w:spacing w:after="0"/>
              <w:rPr>
                <w:sz w:val="1"/>
                <w:szCs w:val="1"/>
                <w:color w:val="auto"/>
              </w:rPr>
            </w:pPr>
          </w:p>
        </w:tc>
      </w:tr>
      <w:tr>
        <w:trPr>
          <w:trHeight w:val="172"/>
        </w:trPr>
        <w:tc>
          <w:tcPr>
            <w:tcW w:w="190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Medicare Part C</w:t>
            </w:r>
          </w:p>
        </w:tc>
        <w:tc>
          <w:tcPr>
            <w:tcW w:w="8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774.9</w:t>
            </w:r>
          </w:p>
        </w:tc>
        <w:tc>
          <w:tcPr>
            <w:tcW w:w="200" w:type="dxa"/>
            <w:vAlign w:val="bottom"/>
            <w:tcBorders>
              <w:left w:val="single" w:sz="8" w:color="CFF0FC"/>
              <w:right w:val="single" w:sz="8" w:color="CFF0FC"/>
            </w:tcBorders>
            <w:shd w:val="clear" w:color="auto" w:fill="CFF0FC"/>
          </w:tcPr>
          <w:p>
            <w:pPr>
              <w:spacing w:after="0"/>
              <w:rPr>
                <w:sz w:val="14"/>
                <w:szCs w:val="14"/>
                <w:color w:val="auto"/>
              </w:rPr>
            </w:pPr>
          </w:p>
        </w:tc>
        <w:tc>
          <w:tcPr>
            <w:tcW w:w="720" w:type="dxa"/>
            <w:vAlign w:val="bottom"/>
            <w:tcBorders>
              <w:right w:val="single" w:sz="8" w:color="CFF0FC"/>
            </w:tcBorders>
            <w:gridSpan w:val="3"/>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18.4%</w:t>
            </w:r>
          </w:p>
        </w:tc>
        <w:tc>
          <w:tcPr>
            <w:tcW w:w="120" w:type="dxa"/>
            <w:vAlign w:val="bottom"/>
            <w:tcBorders>
              <w:left w:val="single" w:sz="8" w:color="CFF0FC"/>
            </w:tcBorders>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621.8</w:t>
            </w:r>
          </w:p>
        </w:tc>
        <w:tc>
          <w:tcPr>
            <w:tcW w:w="200" w:type="dxa"/>
            <w:vAlign w:val="bottom"/>
            <w:tcBorders>
              <w:left w:val="single" w:sz="8" w:color="CFF0FC"/>
              <w:right w:val="single" w:sz="8" w:color="CFF0FC"/>
            </w:tcBorders>
            <w:shd w:val="clear" w:color="auto" w:fill="CFF0FC"/>
          </w:tcPr>
          <w:p>
            <w:pPr>
              <w:spacing w:after="0"/>
              <w:rPr>
                <w:sz w:val="14"/>
                <w:szCs w:val="14"/>
                <w:color w:val="auto"/>
              </w:rPr>
            </w:pPr>
          </w:p>
        </w:tc>
        <w:tc>
          <w:tcPr>
            <w:tcW w:w="700" w:type="dxa"/>
            <w:vAlign w:val="bottom"/>
            <w:tcBorders>
              <w:right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18.7%</w:t>
            </w:r>
          </w:p>
        </w:tc>
        <w:tc>
          <w:tcPr>
            <w:tcW w:w="8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2,162.4</w:t>
            </w:r>
          </w:p>
        </w:tc>
        <w:tc>
          <w:tcPr>
            <w:tcW w:w="200" w:type="dxa"/>
            <w:vAlign w:val="bottom"/>
            <w:tcBorders>
              <w:left w:val="single" w:sz="8" w:color="CFF0FC"/>
              <w:right w:val="single" w:sz="8" w:color="CFF0FC"/>
            </w:tcBorders>
            <w:shd w:val="clear" w:color="auto" w:fill="CFF0FC"/>
          </w:tcPr>
          <w:p>
            <w:pPr>
              <w:spacing w:after="0"/>
              <w:rPr>
                <w:sz w:val="14"/>
                <w:szCs w:val="14"/>
                <w:color w:val="auto"/>
              </w:rPr>
            </w:pPr>
          </w:p>
        </w:tc>
        <w:tc>
          <w:tcPr>
            <w:tcW w:w="76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18.5%</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1,732.3</w:t>
            </w:r>
          </w:p>
        </w:tc>
        <w:tc>
          <w:tcPr>
            <w:tcW w:w="160" w:type="dxa"/>
            <w:vAlign w:val="bottom"/>
            <w:tcBorders>
              <w:right w:val="single" w:sz="8" w:color="CFF0FC"/>
            </w:tcBorders>
            <w:shd w:val="clear" w:color="auto" w:fill="CFF0FC"/>
          </w:tcPr>
          <w:p>
            <w:pPr>
              <w:spacing w:after="0"/>
              <w:rPr>
                <w:sz w:val="14"/>
                <w:szCs w:val="14"/>
                <w:color w:val="auto"/>
              </w:rPr>
            </w:pPr>
          </w:p>
        </w:tc>
        <w:tc>
          <w:tcPr>
            <w:tcW w:w="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18.5%</w:t>
            </w:r>
          </w:p>
        </w:tc>
        <w:tc>
          <w:tcPr>
            <w:tcW w:w="0" w:type="dxa"/>
            <w:vAlign w:val="bottom"/>
          </w:tcPr>
          <w:p>
            <w:pPr>
              <w:spacing w:after="0"/>
              <w:rPr>
                <w:sz w:val="1"/>
                <w:szCs w:val="1"/>
                <w:color w:val="auto"/>
              </w:rPr>
            </w:pPr>
          </w:p>
        </w:tc>
      </w:tr>
      <w:tr>
        <w:trPr>
          <w:trHeight w:val="172"/>
        </w:trPr>
        <w:tc>
          <w:tcPr>
            <w:tcW w:w="1900" w:type="dxa"/>
            <w:vAlign w:val="bottom"/>
          </w:tcPr>
          <w:p>
            <w:pPr>
              <w:spacing w:after="0"/>
              <w:rPr>
                <w:sz w:val="20"/>
                <w:szCs w:val="20"/>
                <w:color w:val="auto"/>
              </w:rPr>
            </w:pPr>
            <w:r>
              <w:rPr>
                <w:rFonts w:ascii="Times New Roman" w:cs="Times New Roman" w:eastAsia="Times New Roman" w:hAnsi="Times New Roman"/>
                <w:sz w:val="14"/>
                <w:szCs w:val="14"/>
                <w:color w:val="auto"/>
              </w:rPr>
              <w:t>Medicare Part D</w:t>
            </w: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1,246.9</w:t>
            </w:r>
          </w:p>
        </w:tc>
        <w:tc>
          <w:tcPr>
            <w:tcW w:w="200" w:type="dxa"/>
            <w:vAlign w:val="bottom"/>
          </w:tcPr>
          <w:p>
            <w:pPr>
              <w:spacing w:after="0"/>
              <w:rPr>
                <w:sz w:val="14"/>
                <w:szCs w:val="14"/>
                <w:color w:val="auto"/>
              </w:rPr>
            </w:pPr>
          </w:p>
        </w:tc>
        <w:tc>
          <w:tcPr>
            <w:tcW w:w="720" w:type="dxa"/>
            <w:vAlign w:val="bottom"/>
            <w:gridSpan w:val="3"/>
          </w:tcPr>
          <w:p>
            <w:pPr>
              <w:ind w:left="280"/>
              <w:spacing w:after="0"/>
              <w:rPr>
                <w:sz w:val="20"/>
                <w:szCs w:val="20"/>
                <w:color w:val="auto"/>
              </w:rPr>
            </w:pPr>
            <w:r>
              <w:rPr>
                <w:rFonts w:ascii="Times New Roman" w:cs="Times New Roman" w:eastAsia="Times New Roman" w:hAnsi="Times New Roman"/>
                <w:sz w:val="14"/>
                <w:szCs w:val="14"/>
                <w:color w:val="auto"/>
              </w:rPr>
              <w:t>29.6%</w:t>
            </w: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1,058.4</w:t>
            </w:r>
          </w:p>
        </w:tc>
        <w:tc>
          <w:tcPr>
            <w:tcW w:w="20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31.7%</w:t>
            </w: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3,470.9</w:t>
            </w:r>
          </w:p>
        </w:tc>
        <w:tc>
          <w:tcPr>
            <w:tcW w:w="20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29.7%</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2,977.7</w:t>
            </w:r>
          </w:p>
        </w:tc>
        <w:tc>
          <w:tcPr>
            <w:tcW w:w="16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31.8%</w:t>
            </w:r>
          </w:p>
        </w:tc>
        <w:tc>
          <w:tcPr>
            <w:tcW w:w="0" w:type="dxa"/>
            <w:vAlign w:val="bottom"/>
          </w:tcPr>
          <w:p>
            <w:pPr>
              <w:spacing w:after="0"/>
              <w:rPr>
                <w:sz w:val="1"/>
                <w:szCs w:val="1"/>
                <w:color w:val="auto"/>
              </w:rPr>
            </w:pPr>
          </w:p>
        </w:tc>
      </w:tr>
      <w:tr>
        <w:trPr>
          <w:trHeight w:val="172"/>
        </w:trPr>
        <w:tc>
          <w:tcPr>
            <w:tcW w:w="190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Private &amp; other</w:t>
            </w:r>
          </w:p>
        </w:tc>
        <w:tc>
          <w:tcPr>
            <w:tcW w:w="8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122.9</w:t>
            </w:r>
          </w:p>
        </w:tc>
        <w:tc>
          <w:tcPr>
            <w:tcW w:w="200" w:type="dxa"/>
            <w:vAlign w:val="bottom"/>
            <w:tcBorders>
              <w:left w:val="single" w:sz="8" w:color="CFF0FC"/>
              <w:right w:val="single" w:sz="8" w:color="CFF0FC"/>
            </w:tcBorders>
            <w:shd w:val="clear" w:color="auto" w:fill="CFF0FC"/>
          </w:tcPr>
          <w:p>
            <w:pPr>
              <w:spacing w:after="0"/>
              <w:rPr>
                <w:sz w:val="14"/>
                <w:szCs w:val="14"/>
                <w:color w:val="auto"/>
              </w:rPr>
            </w:pPr>
          </w:p>
        </w:tc>
        <w:tc>
          <w:tcPr>
            <w:tcW w:w="720" w:type="dxa"/>
            <w:vAlign w:val="bottom"/>
            <w:tcBorders>
              <w:right w:val="single" w:sz="8" w:color="CFF0FC"/>
            </w:tcBorders>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2.9%</w:t>
            </w:r>
          </w:p>
        </w:tc>
        <w:tc>
          <w:tcPr>
            <w:tcW w:w="120" w:type="dxa"/>
            <w:vAlign w:val="bottom"/>
            <w:tcBorders>
              <w:left w:val="single" w:sz="8" w:color="CFF0FC"/>
            </w:tcBorders>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78.2</w:t>
            </w:r>
          </w:p>
        </w:tc>
        <w:tc>
          <w:tcPr>
            <w:tcW w:w="200" w:type="dxa"/>
            <w:vAlign w:val="bottom"/>
            <w:tcBorders>
              <w:left w:val="single" w:sz="8" w:color="CFF0FC"/>
              <w:right w:val="single" w:sz="8" w:color="CFF0FC"/>
            </w:tcBorders>
            <w:shd w:val="clear" w:color="auto" w:fill="CFF0FC"/>
          </w:tcPr>
          <w:p>
            <w:pPr>
              <w:spacing w:after="0"/>
              <w:rPr>
                <w:sz w:val="14"/>
                <w:szCs w:val="14"/>
                <w:color w:val="auto"/>
              </w:rPr>
            </w:pPr>
          </w:p>
        </w:tc>
        <w:tc>
          <w:tcPr>
            <w:tcW w:w="700" w:type="dxa"/>
            <w:vAlign w:val="bottom"/>
            <w:tcBorders>
              <w:right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358.1</w:t>
            </w:r>
          </w:p>
        </w:tc>
        <w:tc>
          <w:tcPr>
            <w:tcW w:w="200" w:type="dxa"/>
            <w:vAlign w:val="bottom"/>
            <w:tcBorders>
              <w:left w:val="single" w:sz="8" w:color="CFF0FC"/>
              <w:right w:val="single" w:sz="8" w:color="CFF0FC"/>
            </w:tcBorders>
            <w:shd w:val="clear" w:color="auto" w:fill="CFF0FC"/>
          </w:tcPr>
          <w:p>
            <w:pPr>
              <w:spacing w:after="0"/>
              <w:rPr>
                <w:sz w:val="14"/>
                <w:szCs w:val="14"/>
                <w:color w:val="auto"/>
              </w:rPr>
            </w:pPr>
          </w:p>
        </w:tc>
        <w:tc>
          <w:tcPr>
            <w:tcW w:w="76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3.0%</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325.6</w:t>
            </w:r>
          </w:p>
        </w:tc>
        <w:tc>
          <w:tcPr>
            <w:tcW w:w="160" w:type="dxa"/>
            <w:vAlign w:val="bottom"/>
            <w:tcBorders>
              <w:right w:val="single" w:sz="8" w:color="CFF0FC"/>
            </w:tcBorders>
            <w:shd w:val="clear" w:color="auto" w:fill="CFF0FC"/>
          </w:tcPr>
          <w:p>
            <w:pPr>
              <w:spacing w:after="0"/>
              <w:rPr>
                <w:sz w:val="14"/>
                <w:szCs w:val="14"/>
                <w:color w:val="auto"/>
              </w:rPr>
            </w:pPr>
          </w:p>
        </w:tc>
        <w:tc>
          <w:tcPr>
            <w:tcW w:w="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20"/>
        </w:trPr>
        <w:tc>
          <w:tcPr>
            <w:tcW w:w="1900" w:type="dxa"/>
            <w:vAlign w:val="bottom"/>
            <w:tcBorders>
              <w:right w:val="single" w:sz="8" w:color="auto"/>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Borders>
              <w:left w:val="single" w:sz="8" w:color="CFF0FC"/>
              <w:right w:val="single" w:sz="8" w:color="auto"/>
            </w:tcBorders>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tcBorders>
              <w:left w:val="single" w:sz="8" w:color="CFF0FC"/>
            </w:tcBorders>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Borders>
              <w:left w:val="single" w:sz="8" w:color="CFF0FC"/>
              <w:right w:val="single" w:sz="8" w:color="auto"/>
            </w:tcBorders>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Borders>
              <w:left w:val="single" w:sz="8" w:color="CFF0FC"/>
              <w:right w:val="single" w:sz="8" w:color="CFF0FC"/>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Borders>
              <w:left w:val="single" w:sz="8" w:color="CFF0FC"/>
              <w:right w:val="single" w:sz="8" w:color="auto"/>
            </w:tcBorders>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Borders>
              <w:left w:val="single" w:sz="8" w:color="CFF0FC"/>
              <w:right w:val="single" w:sz="8" w:color="auto"/>
            </w:tcBorders>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9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4,213.2</w:t>
            </w:r>
          </w:p>
        </w:tc>
        <w:tc>
          <w:tcPr>
            <w:tcW w:w="200" w:type="dxa"/>
            <w:vAlign w:val="bottom"/>
          </w:tcPr>
          <w:p>
            <w:pPr>
              <w:spacing w:after="0"/>
              <w:rPr>
                <w:sz w:val="14"/>
                <w:szCs w:val="14"/>
                <w:color w:val="auto"/>
              </w:rPr>
            </w:pPr>
          </w:p>
        </w:tc>
        <w:tc>
          <w:tcPr>
            <w:tcW w:w="72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100.0%</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$ 3,334.1</w:t>
            </w:r>
          </w:p>
        </w:tc>
        <w:tc>
          <w:tcPr>
            <w:tcW w:w="20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100.0%</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11,700.1</w:t>
            </w:r>
          </w:p>
        </w:tc>
        <w:tc>
          <w:tcPr>
            <w:tcW w:w="20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100.0%</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1"/>
              </w:rPr>
              <w:t>$ 9,359.9</w:t>
            </w:r>
          </w:p>
        </w:tc>
        <w:tc>
          <w:tcPr>
            <w:tcW w:w="16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1993900</wp:posOffset>
            </wp:positionH>
            <wp:positionV relativeFrom="paragraph">
              <wp:posOffset>-2849880</wp:posOffset>
            </wp:positionV>
            <wp:extent cx="47625" cy="698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2423795</wp:posOffset>
            </wp:positionH>
            <wp:positionV relativeFrom="paragraph">
              <wp:posOffset>-2849880</wp:posOffset>
            </wp:positionV>
            <wp:extent cx="88900" cy="698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8900" cy="6985"/>
                    </a:xfrm>
                    <a:prstGeom prst="rect">
                      <a:avLst/>
                    </a:prstGeom>
                    <a:noFill/>
                  </pic:spPr>
                </pic:pic>
              </a:graphicData>
            </a:graphic>
          </wp:anchor>
        </w:drawing>
        <w:drawing>
          <wp:anchor simplePos="0" relativeHeight="251657728" behindDoc="1" locked="0" layoutInCell="0" allowOverlap="1">
            <wp:simplePos x="0" y="0"/>
            <wp:positionH relativeFrom="column">
              <wp:posOffset>2941955</wp:posOffset>
            </wp:positionH>
            <wp:positionV relativeFrom="paragraph">
              <wp:posOffset>-2849880</wp:posOffset>
            </wp:positionV>
            <wp:extent cx="47625" cy="698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3371215</wp:posOffset>
            </wp:positionH>
            <wp:positionV relativeFrom="paragraph">
              <wp:posOffset>-2849880</wp:posOffset>
            </wp:positionV>
            <wp:extent cx="88900" cy="698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8900" cy="6985"/>
                    </a:xfrm>
                    <a:prstGeom prst="rect">
                      <a:avLst/>
                    </a:prstGeom>
                    <a:noFill/>
                  </pic:spPr>
                </pic:pic>
              </a:graphicData>
            </a:graphic>
          </wp:anchor>
        </w:drawing>
        <w:drawing>
          <wp:anchor simplePos="0" relativeHeight="251657728" behindDoc="1" locked="0" layoutInCell="0" allowOverlap="1">
            <wp:simplePos x="0" y="0"/>
            <wp:positionH relativeFrom="column">
              <wp:posOffset>3923665</wp:posOffset>
            </wp:positionH>
            <wp:positionV relativeFrom="paragraph">
              <wp:posOffset>-2849880</wp:posOffset>
            </wp:positionV>
            <wp:extent cx="47625" cy="698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4353560</wp:posOffset>
            </wp:positionH>
            <wp:positionV relativeFrom="paragraph">
              <wp:posOffset>-2849880</wp:posOffset>
            </wp:positionV>
            <wp:extent cx="88900" cy="698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8900" cy="6985"/>
                    </a:xfrm>
                    <a:prstGeom prst="rect">
                      <a:avLst/>
                    </a:prstGeom>
                    <a:noFill/>
                  </pic:spPr>
                </pic:pic>
              </a:graphicData>
            </a:graphic>
          </wp:anchor>
        </w:drawing>
        <w:drawing>
          <wp:anchor simplePos="0" relativeHeight="251657728" behindDoc="1" locked="0" layoutInCell="0" allowOverlap="1">
            <wp:simplePos x="0" y="0"/>
            <wp:positionH relativeFrom="column">
              <wp:posOffset>4824095</wp:posOffset>
            </wp:positionH>
            <wp:positionV relativeFrom="paragraph">
              <wp:posOffset>-2849880</wp:posOffset>
            </wp:positionV>
            <wp:extent cx="47625" cy="698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5226685</wp:posOffset>
            </wp:positionH>
            <wp:positionV relativeFrom="paragraph">
              <wp:posOffset>-2849880</wp:posOffset>
            </wp:positionV>
            <wp:extent cx="88900" cy="698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8900" cy="6985"/>
                    </a:xfrm>
                    <a:prstGeom prst="rect">
                      <a:avLst/>
                    </a:prstGeom>
                    <a:noFill/>
                  </pic:spPr>
                </pic:pic>
              </a:graphicData>
            </a:graphic>
          </wp:anchor>
        </w:drawing>
        <w:drawing>
          <wp:anchor simplePos="0" relativeHeight="251657728" behindDoc="1" locked="0" layoutInCell="0" allowOverlap="1">
            <wp:simplePos x="0" y="0"/>
            <wp:positionH relativeFrom="column">
              <wp:posOffset>1986915</wp:posOffset>
            </wp:positionH>
            <wp:positionV relativeFrom="paragraph">
              <wp:posOffset>-1431290</wp:posOffset>
            </wp:positionV>
            <wp:extent cx="47625" cy="698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1986915</wp:posOffset>
            </wp:positionH>
            <wp:positionV relativeFrom="paragraph">
              <wp:posOffset>-1417955</wp:posOffset>
            </wp:positionV>
            <wp:extent cx="47625" cy="698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2416810</wp:posOffset>
            </wp:positionH>
            <wp:positionV relativeFrom="paragraph">
              <wp:posOffset>-1431290</wp:posOffset>
            </wp:positionV>
            <wp:extent cx="88900" cy="698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8900" cy="6985"/>
                    </a:xfrm>
                    <a:prstGeom prst="rect">
                      <a:avLst/>
                    </a:prstGeom>
                    <a:noFill/>
                  </pic:spPr>
                </pic:pic>
              </a:graphicData>
            </a:graphic>
          </wp:anchor>
        </w:drawing>
        <w:drawing>
          <wp:anchor simplePos="0" relativeHeight="251657728" behindDoc="1" locked="0" layoutInCell="0" allowOverlap="1">
            <wp:simplePos x="0" y="0"/>
            <wp:positionH relativeFrom="column">
              <wp:posOffset>2416810</wp:posOffset>
            </wp:positionH>
            <wp:positionV relativeFrom="paragraph">
              <wp:posOffset>-1417955</wp:posOffset>
            </wp:positionV>
            <wp:extent cx="88900" cy="698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8900" cy="6985"/>
                    </a:xfrm>
                    <a:prstGeom prst="rect">
                      <a:avLst/>
                    </a:prstGeom>
                    <a:noFill/>
                  </pic:spPr>
                </pic:pic>
              </a:graphicData>
            </a:graphic>
          </wp:anchor>
        </w:drawing>
        <w:drawing>
          <wp:anchor simplePos="0" relativeHeight="251657728" behindDoc="1" locked="0" layoutInCell="0" allowOverlap="1">
            <wp:simplePos x="0" y="0"/>
            <wp:positionH relativeFrom="column">
              <wp:posOffset>2934970</wp:posOffset>
            </wp:positionH>
            <wp:positionV relativeFrom="paragraph">
              <wp:posOffset>-1431290</wp:posOffset>
            </wp:positionV>
            <wp:extent cx="47625" cy="698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2934970</wp:posOffset>
            </wp:positionH>
            <wp:positionV relativeFrom="paragraph">
              <wp:posOffset>-1417955</wp:posOffset>
            </wp:positionV>
            <wp:extent cx="47625" cy="69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-1431290</wp:posOffset>
            </wp:positionV>
            <wp:extent cx="88900" cy="698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8900" cy="6985"/>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-1417955</wp:posOffset>
            </wp:positionV>
            <wp:extent cx="88900" cy="698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8900" cy="6985"/>
                    </a:xfrm>
                    <a:prstGeom prst="rect">
                      <a:avLst/>
                    </a:prstGeom>
                    <a:noFill/>
                  </pic:spPr>
                </pic:pic>
              </a:graphicData>
            </a:graphic>
          </wp:anchor>
        </w:drawing>
        <w:drawing>
          <wp:anchor simplePos="0" relativeHeight="251657728" behindDoc="1" locked="0" layoutInCell="0" allowOverlap="1">
            <wp:simplePos x="0" y="0"/>
            <wp:positionH relativeFrom="column">
              <wp:posOffset>3890010</wp:posOffset>
            </wp:positionH>
            <wp:positionV relativeFrom="paragraph">
              <wp:posOffset>-1431290</wp:posOffset>
            </wp:positionV>
            <wp:extent cx="47625" cy="698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3890010</wp:posOffset>
            </wp:positionH>
            <wp:positionV relativeFrom="paragraph">
              <wp:posOffset>-1417955</wp:posOffset>
            </wp:positionV>
            <wp:extent cx="47625" cy="698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4319270</wp:posOffset>
            </wp:positionH>
            <wp:positionV relativeFrom="paragraph">
              <wp:posOffset>-1431290</wp:posOffset>
            </wp:positionV>
            <wp:extent cx="88900" cy="698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8900" cy="6985"/>
                    </a:xfrm>
                    <a:prstGeom prst="rect">
                      <a:avLst/>
                    </a:prstGeom>
                    <a:noFill/>
                  </pic:spPr>
                </pic:pic>
              </a:graphicData>
            </a:graphic>
          </wp:anchor>
        </w:drawing>
        <w:drawing>
          <wp:anchor simplePos="0" relativeHeight="251657728" behindDoc="1" locked="0" layoutInCell="0" allowOverlap="1">
            <wp:simplePos x="0" y="0"/>
            <wp:positionH relativeFrom="column">
              <wp:posOffset>4319270</wp:posOffset>
            </wp:positionH>
            <wp:positionV relativeFrom="paragraph">
              <wp:posOffset>-1417955</wp:posOffset>
            </wp:positionV>
            <wp:extent cx="88900" cy="698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8900" cy="6985"/>
                    </a:xfrm>
                    <a:prstGeom prst="rect">
                      <a:avLst/>
                    </a:prstGeom>
                    <a:noFill/>
                  </pic:spPr>
                </pic:pic>
              </a:graphicData>
            </a:graphic>
          </wp:anchor>
        </w:drawing>
        <w:drawing>
          <wp:anchor simplePos="0" relativeHeight="251657728" behindDoc="1" locked="0" layoutInCell="0" allowOverlap="1">
            <wp:simplePos x="0" y="0"/>
            <wp:positionH relativeFrom="column">
              <wp:posOffset>4824095</wp:posOffset>
            </wp:positionH>
            <wp:positionV relativeFrom="paragraph">
              <wp:posOffset>-1431290</wp:posOffset>
            </wp:positionV>
            <wp:extent cx="47625" cy="698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4824095</wp:posOffset>
            </wp:positionH>
            <wp:positionV relativeFrom="paragraph">
              <wp:posOffset>-1417955</wp:posOffset>
            </wp:positionV>
            <wp:extent cx="47625" cy="698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5226685</wp:posOffset>
            </wp:positionH>
            <wp:positionV relativeFrom="paragraph">
              <wp:posOffset>-1431290</wp:posOffset>
            </wp:positionV>
            <wp:extent cx="88900" cy="698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8900" cy="6985"/>
                    </a:xfrm>
                    <a:prstGeom prst="rect">
                      <a:avLst/>
                    </a:prstGeom>
                    <a:noFill/>
                  </pic:spPr>
                </pic:pic>
              </a:graphicData>
            </a:graphic>
          </wp:anchor>
        </w:drawing>
        <w:drawing>
          <wp:anchor simplePos="0" relativeHeight="251657728" behindDoc="1" locked="0" layoutInCell="0" allowOverlap="1">
            <wp:simplePos x="0" y="0"/>
            <wp:positionH relativeFrom="column">
              <wp:posOffset>5226685</wp:posOffset>
            </wp:positionH>
            <wp:positionV relativeFrom="paragraph">
              <wp:posOffset>-1417955</wp:posOffset>
            </wp:positionV>
            <wp:extent cx="88900" cy="698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8900" cy="6985"/>
                    </a:xfrm>
                    <a:prstGeom prst="rect">
                      <a:avLst/>
                    </a:prstGeom>
                    <a:noFill/>
                  </pic:spPr>
                </pic:pic>
              </a:graphicData>
            </a:graphic>
          </wp:anchor>
        </w:drawing>
        <w:drawing>
          <wp:anchor simplePos="0" relativeHeight="251657728" behindDoc="1" locked="0" layoutInCell="0" allowOverlap="1">
            <wp:simplePos x="0" y="0"/>
            <wp:positionH relativeFrom="column">
              <wp:posOffset>1986915</wp:posOffset>
            </wp:positionH>
            <wp:positionV relativeFrom="paragraph">
              <wp:posOffset>-135890</wp:posOffset>
            </wp:positionV>
            <wp:extent cx="47625" cy="698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2457450</wp:posOffset>
            </wp:positionH>
            <wp:positionV relativeFrom="paragraph">
              <wp:posOffset>-135890</wp:posOffset>
            </wp:positionV>
            <wp:extent cx="88900" cy="698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8900" cy="6985"/>
                    </a:xfrm>
                    <a:prstGeom prst="rect">
                      <a:avLst/>
                    </a:prstGeom>
                    <a:noFill/>
                  </pic:spPr>
                </pic:pic>
              </a:graphicData>
            </a:graphic>
          </wp:anchor>
        </w:drawing>
        <w:drawing>
          <wp:anchor simplePos="0" relativeHeight="251657728" behindDoc="1" locked="0" layoutInCell="0" allowOverlap="1">
            <wp:simplePos x="0" y="0"/>
            <wp:positionH relativeFrom="column">
              <wp:posOffset>2934970</wp:posOffset>
            </wp:positionH>
            <wp:positionV relativeFrom="paragraph">
              <wp:posOffset>-135890</wp:posOffset>
            </wp:positionV>
            <wp:extent cx="47625" cy="698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-135890</wp:posOffset>
            </wp:positionV>
            <wp:extent cx="88900" cy="698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8900" cy="6985"/>
                    </a:xfrm>
                    <a:prstGeom prst="rect">
                      <a:avLst/>
                    </a:prstGeom>
                    <a:noFill/>
                  </pic:spPr>
                </pic:pic>
              </a:graphicData>
            </a:graphic>
          </wp:anchor>
        </w:drawing>
        <w:drawing>
          <wp:anchor simplePos="0" relativeHeight="251657728" behindDoc="1" locked="0" layoutInCell="0" allowOverlap="1">
            <wp:simplePos x="0" y="0"/>
            <wp:positionH relativeFrom="column">
              <wp:posOffset>3890010</wp:posOffset>
            </wp:positionH>
            <wp:positionV relativeFrom="paragraph">
              <wp:posOffset>-135890</wp:posOffset>
            </wp:positionV>
            <wp:extent cx="47625" cy="698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4319270</wp:posOffset>
            </wp:positionH>
            <wp:positionV relativeFrom="paragraph">
              <wp:posOffset>-135890</wp:posOffset>
            </wp:positionV>
            <wp:extent cx="88900" cy="698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8900" cy="6985"/>
                    </a:xfrm>
                    <a:prstGeom prst="rect">
                      <a:avLst/>
                    </a:prstGeom>
                    <a:noFill/>
                  </pic:spPr>
                </pic:pic>
              </a:graphicData>
            </a:graphic>
          </wp:anchor>
        </w:drawing>
        <w:drawing>
          <wp:anchor simplePos="0" relativeHeight="251657728" behindDoc="1" locked="0" layoutInCell="0" allowOverlap="1">
            <wp:simplePos x="0" y="0"/>
            <wp:positionH relativeFrom="column">
              <wp:posOffset>4824095</wp:posOffset>
            </wp:positionH>
            <wp:positionV relativeFrom="paragraph">
              <wp:posOffset>-135890</wp:posOffset>
            </wp:positionV>
            <wp:extent cx="47625" cy="698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5226685</wp:posOffset>
            </wp:positionH>
            <wp:positionV relativeFrom="paragraph">
              <wp:posOffset>-135890</wp:posOffset>
            </wp:positionV>
            <wp:extent cx="88900" cy="698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8900" cy="6985"/>
                    </a:xfrm>
                    <a:prstGeom prst="rect">
                      <a:avLst/>
                    </a:prstGeom>
                    <a:noFill/>
                  </pic:spPr>
                </pic:pic>
              </a:graphicData>
            </a:graphic>
          </wp:anchor>
        </w:drawing>
      </w:r>
    </w:p>
    <w:p>
      <w:pPr>
        <w:spacing w:after="0" w:line="13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Refer to Note 11 for the disaggregation of revenue by reportable segment.</w:t>
      </w:r>
    </w:p>
    <w:p>
      <w:pPr>
        <w:spacing w:after="0" w:line="26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4. Acquisitions</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2026 Acquisitions</w:t>
      </w:r>
    </w:p>
    <w:p>
      <w:pPr>
        <w:spacing w:after="0" w:line="99" w:lineRule="exact"/>
        <w:rPr>
          <w:sz w:val="20"/>
          <w:szCs w:val="20"/>
          <w:color w:val="auto"/>
        </w:rPr>
      </w:pPr>
    </w:p>
    <w:p>
      <w:pPr>
        <w:ind w:left="640" w:right="759"/>
        <w:spacing w:after="0" w:line="265" w:lineRule="auto"/>
        <w:rPr>
          <w:sz w:val="20"/>
          <w:szCs w:val="20"/>
          <w:color w:val="auto"/>
        </w:rPr>
      </w:pPr>
      <w:r>
        <w:rPr>
          <w:rFonts w:ascii="Times New Roman" w:cs="Times New Roman" w:eastAsia="Times New Roman" w:hAnsi="Times New Roman"/>
          <w:sz w:val="14"/>
          <w:szCs w:val="14"/>
          <w:color w:val="auto"/>
        </w:rPr>
        <w:t>During the nine months ended September 30, 2026, we completed two acquisitions within the Provider Services segment for aggregate consideration of $2.1 million. We entered these transactions in order to expand our services and geographic offerings. No cash was acquired as a part of these transactions. The operating results of the acquisitions are included in our unaudited condensed consolidated financial statements from the respective dates of the acquisition and are not material to our results of operations. During the nine months ended September 30, 2026, the Company incurred immaterial transaction costs related to the acquisitions.</w:t>
      </w:r>
    </w:p>
    <w:p>
      <w:pPr>
        <w:spacing w:after="0" w:line="14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2025 Acquisitions</w:t>
      </w:r>
    </w:p>
    <w:p>
      <w:pPr>
        <w:spacing w:after="0" w:line="99" w:lineRule="exact"/>
        <w:rPr>
          <w:sz w:val="20"/>
          <w:szCs w:val="20"/>
          <w:color w:val="auto"/>
        </w:rPr>
      </w:pPr>
    </w:p>
    <w:p>
      <w:pPr>
        <w:ind w:left="640" w:right="1059"/>
        <w:spacing w:after="0" w:line="268" w:lineRule="auto"/>
        <w:rPr>
          <w:sz w:val="20"/>
          <w:szCs w:val="20"/>
          <w:color w:val="auto"/>
        </w:rPr>
      </w:pPr>
      <w:r>
        <w:rPr>
          <w:rFonts w:ascii="Times New Roman" w:cs="Times New Roman" w:eastAsia="Times New Roman" w:hAnsi="Times New Roman"/>
          <w:sz w:val="14"/>
          <w:szCs w:val="14"/>
          <w:color w:val="auto"/>
        </w:rPr>
        <w:t>During the year ended December 31, 2025, we completed three acquisitions within the Provider Services segment for aggregate consideration net of cash acquired of $247.0 million. We entered into these transactions in order to expand our services and geographic offerings. The operating results of these acquisitions are included in our unaudited condensed consolidated financial statements from the respective dates of the acquisition.</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93" w:right="1440" w:bottom="1440" w:gutter="0" w:footer="0" w:header="0"/>
        </w:sectPr>
      </w:pPr>
    </w:p>
    <w:bookmarkStart w:id="17" w:name="page18"/>
    <w:bookmarkEnd w:id="17"/>
    <w:p>
      <w:pPr>
        <w:ind w:left="640"/>
        <w:spacing w:after="0"/>
        <w:rPr>
          <w:sz w:val="20"/>
          <w:szCs w:val="20"/>
          <w:color w:val="auto"/>
        </w:rPr>
      </w:pPr>
      <w:r>
        <w:rPr>
          <w:rFonts w:ascii="Times New Roman" w:cs="Times New Roman" w:eastAsia="Times New Roman" w:hAnsi="Times New Roman"/>
          <w:sz w:val="14"/>
          <w:szCs w:val="14"/>
          <w:i w:val="1"/>
          <w:iCs w:val="1"/>
          <w:u w:val="single" w:color="auto"/>
          <w:color w:val="auto"/>
        </w:rPr>
        <w:t>Amedisys and LHC Branches Acquisition</w:t>
      </w:r>
    </w:p>
    <w:p>
      <w:pPr>
        <w:spacing w:after="0" w:line="99" w:lineRule="exact"/>
        <w:rPr>
          <w:sz w:val="20"/>
          <w:szCs w:val="20"/>
          <w:color w:val="auto"/>
        </w:rPr>
      </w:pPr>
    </w:p>
    <w:p>
      <w:pPr>
        <w:ind w:left="640" w:right="699"/>
        <w:spacing w:after="0" w:line="262" w:lineRule="auto"/>
        <w:rPr>
          <w:sz w:val="20"/>
          <w:szCs w:val="20"/>
          <w:color w:val="auto"/>
        </w:rPr>
      </w:pPr>
      <w:r>
        <w:rPr>
          <w:rFonts w:ascii="Times New Roman" w:cs="Times New Roman" w:eastAsia="Times New Roman" w:hAnsi="Times New Roman"/>
          <w:sz w:val="14"/>
          <w:szCs w:val="14"/>
          <w:color w:val="auto"/>
        </w:rPr>
        <w:t>The Company entered into a purchase agreement with Amedisys, Inc., UnitedHealth Group Incorporated and certain of their respective subsidiaries, to purchase certain Amedisys home health and hospice care centers and certain UnitedHealth Group care centers (the “Amedisys and LHC Branches Acquisition”), which is comprised of 110 branches, for a total purchase price of $246.4 million, net of cash acquired. On December 1, 2025 and December 31, 2025, the Company closed on the acquisition of 103 branches and 4 branches, respectively, as a part of the Amedisys and LHC Branches Acquisition for aggregate consideration of $238.5 million net of cash acquired, of which $42.2 million was paid in the first fiscal quarter of 2026. The closing of the remaining three branches is expected to occur in fiscal year 2026, subject to customary regulatory approvals and other closing conditions.</w:t>
      </w:r>
    </w:p>
    <w:p>
      <w:pPr>
        <w:spacing w:after="0" w:line="144" w:lineRule="exact"/>
        <w:rPr>
          <w:sz w:val="20"/>
          <w:szCs w:val="20"/>
          <w:color w:val="auto"/>
        </w:rPr>
      </w:pPr>
    </w:p>
    <w:p>
      <w:pPr>
        <w:ind w:left="640" w:right="1039"/>
        <w:spacing w:after="0" w:line="265" w:lineRule="auto"/>
        <w:rPr>
          <w:sz w:val="20"/>
          <w:szCs w:val="20"/>
          <w:color w:val="auto"/>
        </w:rPr>
      </w:pPr>
      <w:r>
        <w:rPr>
          <w:rFonts w:ascii="Times New Roman" w:cs="Times New Roman" w:eastAsia="Times New Roman" w:hAnsi="Times New Roman"/>
          <w:sz w:val="14"/>
          <w:szCs w:val="14"/>
          <w:color w:val="auto"/>
        </w:rPr>
        <w:t>Upon closing, we entered into a one-year TSA with the sellers to support our post-closing operations of the Amedisys and LHC Branches Acquisition. The sellers will continue to provide certain transition services in exchange for fixed-price service fees. Transition services primarily include finance and accounting, human resources, IT, and legal and compliance services. The fees associated with the services rendered under the TSA are not material to our results of operations and are recorded within selling, general, and administrative expenses in our unaudited condensed consolidated statements of operations.</w:t>
      </w:r>
    </w:p>
    <w:p>
      <w:pPr>
        <w:spacing w:after="0" w:line="142" w:lineRule="exact"/>
        <w:rPr>
          <w:sz w:val="20"/>
          <w:szCs w:val="20"/>
          <w:color w:val="auto"/>
        </w:rPr>
      </w:pPr>
    </w:p>
    <w:p>
      <w:pPr>
        <w:ind w:left="640" w:right="719"/>
        <w:spacing w:after="0" w:line="260" w:lineRule="auto"/>
        <w:rPr>
          <w:sz w:val="20"/>
          <w:szCs w:val="20"/>
          <w:color w:val="auto"/>
        </w:rPr>
      </w:pPr>
      <w:r>
        <w:rPr>
          <w:rFonts w:ascii="Times New Roman" w:cs="Times New Roman" w:eastAsia="Times New Roman" w:hAnsi="Times New Roman"/>
          <w:sz w:val="14"/>
          <w:szCs w:val="14"/>
          <w:color w:val="auto"/>
        </w:rPr>
        <w:t>The Amedisys and LHC Branches Acquisition provides home health and hospice care services through several legal entities in 18 states, of which the branches in 17 states have been acquired as of September 30, 2026. The allocation of the purchase price is provisional as of September 30, 2026. Provisional amounts primarily relate to the valuation of intangible assets, certain lease right-of-use assets and lease liabilities, working capital accounts (accounts receivable and certain accruals), and the valuation of redeemable noncontrolling interests. The provisional status is due to pending third-party valuations, receipt of additional information from the sellers, and completion of certain closing procedures. We expect to complete the purchase price allocation no later than December 1, 2026. During the measurement period, we will record adjustments to provisional amounts with a corresponding adjustment to goodwill, reflecting facts and circumstances that existed as of the acquisition dates. The following table summarizes the consideration paid (in thousands) for the Amedisys and LHC Branches Acquisition and the provisional fair value of the assets acquired and the liabilities assumed at the respective acquisition dates.</w:t>
      </w:r>
    </w:p>
    <w:p>
      <w:pPr>
        <w:spacing w:after="0" w:line="333" w:lineRule="exact"/>
        <w:rPr>
          <w:sz w:val="20"/>
          <w:szCs w:val="20"/>
          <w:color w:val="auto"/>
        </w:rPr>
      </w:pPr>
    </w:p>
    <w:tbl>
      <w:tblPr>
        <w:tblLayout w:type="fixed"/>
        <w:tblInd w:w="640" w:type="dxa"/>
        <w:tblCellMar>
          <w:top w:w="0" w:type="dxa"/>
          <w:left w:w="0" w:type="dxa"/>
          <w:bottom w:w="0" w:type="dxa"/>
          <w:right w:w="0" w:type="dxa"/>
        </w:tblCellMar>
      </w:tblPr>
      <w:tr>
        <w:trPr>
          <w:trHeight w:val="172"/>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Accounts receivable</w:t>
            </w:r>
          </w:p>
        </w:tc>
        <w:tc>
          <w:tcPr>
            <w:tcW w:w="440" w:type="dxa"/>
            <w:vAlign w:val="bottom"/>
            <w:shd w:val="clear" w:color="auto" w:fill="CFF0FC"/>
          </w:tcPr>
          <w:p>
            <w:pPr>
              <w:jc w:val="right"/>
              <w:ind w:right="32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34,869</w:t>
            </w:r>
          </w:p>
        </w:tc>
        <w:tc>
          <w:tcPr>
            <w:tcW w:w="80" w:type="dxa"/>
            <w:vAlign w:val="bottom"/>
            <w:shd w:val="clear" w:color="auto" w:fill="CFF0FC"/>
          </w:tcPr>
          <w:p>
            <w:pPr>
              <w:spacing w:after="0"/>
              <w:rPr>
                <w:sz w:val="14"/>
                <w:szCs w:val="14"/>
                <w:color w:val="auto"/>
              </w:rPr>
            </w:pPr>
          </w:p>
        </w:tc>
      </w:tr>
      <w:tr>
        <w:trPr>
          <w:trHeight w:val="172"/>
        </w:trPr>
        <w:tc>
          <w:tcPr>
            <w:tcW w:w="6360" w:type="dxa"/>
            <w:vAlign w:val="bottom"/>
          </w:tcPr>
          <w:p>
            <w:pPr>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4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tcPr>
          <w:p>
            <w:pPr>
              <w:spacing w:after="0"/>
              <w:rPr>
                <w:sz w:val="14"/>
                <w:szCs w:val="14"/>
                <w:color w:val="auto"/>
              </w:rPr>
            </w:pPr>
          </w:p>
        </w:tc>
      </w:tr>
      <w:tr>
        <w:trPr>
          <w:trHeight w:val="172"/>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Property and equipment</w:t>
            </w:r>
          </w:p>
        </w:tc>
        <w:tc>
          <w:tcPr>
            <w:tcW w:w="44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5,633</w:t>
            </w:r>
          </w:p>
        </w:tc>
        <w:tc>
          <w:tcPr>
            <w:tcW w:w="80" w:type="dxa"/>
            <w:vAlign w:val="bottom"/>
            <w:shd w:val="clear" w:color="auto" w:fill="CFF0FC"/>
          </w:tcPr>
          <w:p>
            <w:pPr>
              <w:spacing w:after="0"/>
              <w:rPr>
                <w:sz w:val="14"/>
                <w:szCs w:val="14"/>
                <w:color w:val="auto"/>
              </w:rPr>
            </w:pPr>
          </w:p>
        </w:tc>
      </w:tr>
      <w:tr>
        <w:trPr>
          <w:trHeight w:val="172"/>
        </w:trPr>
        <w:tc>
          <w:tcPr>
            <w:tcW w:w="6360" w:type="dxa"/>
            <w:vAlign w:val="bottom"/>
          </w:tcPr>
          <w:p>
            <w:pPr>
              <w:spacing w:after="0"/>
              <w:rPr>
                <w:sz w:val="20"/>
                <w:szCs w:val="20"/>
                <w:color w:val="auto"/>
              </w:rPr>
            </w:pPr>
            <w:r>
              <w:rPr>
                <w:rFonts w:ascii="Times New Roman" w:cs="Times New Roman" w:eastAsia="Times New Roman" w:hAnsi="Times New Roman"/>
                <w:sz w:val="14"/>
                <w:szCs w:val="14"/>
                <w:color w:val="auto"/>
              </w:rPr>
              <w:t>Goodwill</w:t>
            </w:r>
          </w:p>
        </w:tc>
        <w:tc>
          <w:tcPr>
            <w:tcW w:w="4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165,428</w:t>
            </w:r>
          </w:p>
        </w:tc>
        <w:tc>
          <w:tcPr>
            <w:tcW w:w="80" w:type="dxa"/>
            <w:vAlign w:val="bottom"/>
          </w:tcPr>
          <w:p>
            <w:pPr>
              <w:spacing w:after="0"/>
              <w:rPr>
                <w:sz w:val="14"/>
                <w:szCs w:val="14"/>
                <w:color w:val="auto"/>
              </w:rPr>
            </w:pPr>
          </w:p>
        </w:tc>
      </w:tr>
      <w:tr>
        <w:trPr>
          <w:trHeight w:val="172"/>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Intangible assets</w:t>
            </w:r>
          </w:p>
        </w:tc>
        <w:tc>
          <w:tcPr>
            <w:tcW w:w="44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62,897</w:t>
            </w:r>
          </w:p>
        </w:tc>
        <w:tc>
          <w:tcPr>
            <w:tcW w:w="80" w:type="dxa"/>
            <w:vAlign w:val="bottom"/>
            <w:shd w:val="clear" w:color="auto" w:fill="CFF0FC"/>
          </w:tcPr>
          <w:p>
            <w:pPr>
              <w:spacing w:after="0"/>
              <w:rPr>
                <w:sz w:val="14"/>
                <w:szCs w:val="14"/>
                <w:color w:val="auto"/>
              </w:rPr>
            </w:pPr>
          </w:p>
        </w:tc>
      </w:tr>
      <w:tr>
        <w:trPr>
          <w:trHeight w:val="172"/>
        </w:trPr>
        <w:tc>
          <w:tcPr>
            <w:tcW w:w="6360" w:type="dxa"/>
            <w:vAlign w:val="bottom"/>
          </w:tcPr>
          <w:p>
            <w:pPr>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4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12,604</w:t>
            </w:r>
          </w:p>
        </w:tc>
        <w:tc>
          <w:tcPr>
            <w:tcW w:w="80" w:type="dxa"/>
            <w:vAlign w:val="bottom"/>
          </w:tcPr>
          <w:p>
            <w:pPr>
              <w:spacing w:after="0"/>
              <w:rPr>
                <w:sz w:val="14"/>
                <w:szCs w:val="14"/>
                <w:color w:val="auto"/>
              </w:rPr>
            </w:pPr>
          </w:p>
        </w:tc>
      </w:tr>
      <w:tr>
        <w:trPr>
          <w:trHeight w:val="172"/>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Trade accounts payable</w:t>
            </w:r>
          </w:p>
        </w:tc>
        <w:tc>
          <w:tcPr>
            <w:tcW w:w="44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1,881</w:t>
            </w:r>
          </w:p>
        </w:tc>
        <w:tc>
          <w:tcPr>
            <w:tcW w:w="80" w:type="dxa"/>
            <w:vAlign w:val="bottom"/>
            <w:shd w:val="clear" w:color="auto" w:fill="CFF0FC"/>
          </w:tcPr>
          <w:p>
            <w:pPr>
              <w:spacing w:after="0"/>
              <w:rPr>
                <w:sz w:val="14"/>
                <w:szCs w:val="14"/>
                <w:color w:val="auto"/>
              </w:rPr>
            </w:pPr>
          </w:p>
        </w:tc>
      </w:tr>
      <w:tr>
        <w:trPr>
          <w:trHeight w:val="172"/>
        </w:trPr>
        <w:tc>
          <w:tcPr>
            <w:tcW w:w="6360" w:type="dxa"/>
            <w:vAlign w:val="bottom"/>
          </w:tcPr>
          <w:p>
            <w:pPr>
              <w:spacing w:after="0"/>
              <w:rPr>
                <w:sz w:val="20"/>
                <w:szCs w:val="20"/>
                <w:color w:val="auto"/>
              </w:rPr>
            </w:pPr>
            <w:r>
              <w:rPr>
                <w:rFonts w:ascii="Times New Roman" w:cs="Times New Roman" w:eastAsia="Times New Roman" w:hAnsi="Times New Roman"/>
                <w:sz w:val="14"/>
                <w:szCs w:val="14"/>
                <w:color w:val="auto"/>
              </w:rPr>
              <w:t>Accrued expenses</w:t>
            </w:r>
          </w:p>
        </w:tc>
        <w:tc>
          <w:tcPr>
            <w:tcW w:w="4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12,313</w:t>
            </w:r>
          </w:p>
        </w:tc>
        <w:tc>
          <w:tcPr>
            <w:tcW w:w="80" w:type="dxa"/>
            <w:vAlign w:val="bottom"/>
          </w:tcPr>
          <w:p>
            <w:pPr>
              <w:spacing w:after="0"/>
              <w:rPr>
                <w:sz w:val="14"/>
                <w:szCs w:val="14"/>
                <w:color w:val="auto"/>
              </w:rPr>
            </w:pPr>
          </w:p>
        </w:tc>
      </w:tr>
      <w:tr>
        <w:trPr>
          <w:trHeight w:val="172"/>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Current portion of obligations under operating leases</w:t>
            </w:r>
          </w:p>
        </w:tc>
        <w:tc>
          <w:tcPr>
            <w:tcW w:w="44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4,177</w:t>
            </w:r>
          </w:p>
        </w:tc>
        <w:tc>
          <w:tcPr>
            <w:tcW w:w="80" w:type="dxa"/>
            <w:vAlign w:val="bottom"/>
            <w:shd w:val="clear" w:color="auto" w:fill="CFF0FC"/>
          </w:tcPr>
          <w:p>
            <w:pPr>
              <w:spacing w:after="0"/>
              <w:rPr>
                <w:sz w:val="14"/>
                <w:szCs w:val="14"/>
                <w:color w:val="auto"/>
              </w:rPr>
            </w:pPr>
          </w:p>
        </w:tc>
      </w:tr>
      <w:tr>
        <w:trPr>
          <w:trHeight w:val="172"/>
        </w:trPr>
        <w:tc>
          <w:tcPr>
            <w:tcW w:w="6360" w:type="dxa"/>
            <w:vAlign w:val="bottom"/>
          </w:tcPr>
          <w:p>
            <w:pPr>
              <w:spacing w:after="0"/>
              <w:rPr>
                <w:sz w:val="20"/>
                <w:szCs w:val="20"/>
                <w:color w:val="auto"/>
              </w:rPr>
            </w:pPr>
            <w:r>
              <w:rPr>
                <w:rFonts w:ascii="Times New Roman" w:cs="Times New Roman" w:eastAsia="Times New Roman" w:hAnsi="Times New Roman"/>
                <w:sz w:val="14"/>
                <w:szCs w:val="14"/>
                <w:color w:val="auto"/>
              </w:rPr>
              <w:t>Current portion of obligations under financing leases</w:t>
            </w:r>
          </w:p>
        </w:tc>
        <w:tc>
          <w:tcPr>
            <w:tcW w:w="4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1,797</w:t>
            </w:r>
          </w:p>
        </w:tc>
        <w:tc>
          <w:tcPr>
            <w:tcW w:w="80" w:type="dxa"/>
            <w:vAlign w:val="bottom"/>
          </w:tcPr>
          <w:p>
            <w:pPr>
              <w:spacing w:after="0"/>
              <w:rPr>
                <w:sz w:val="14"/>
                <w:szCs w:val="14"/>
                <w:color w:val="auto"/>
              </w:rPr>
            </w:pPr>
          </w:p>
        </w:tc>
      </w:tr>
      <w:tr>
        <w:trPr>
          <w:trHeight w:val="172"/>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Obligations under operating leases, net of current portion</w:t>
            </w:r>
          </w:p>
        </w:tc>
        <w:tc>
          <w:tcPr>
            <w:tcW w:w="44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8,427</w:t>
            </w:r>
          </w:p>
        </w:tc>
        <w:tc>
          <w:tcPr>
            <w:tcW w:w="80" w:type="dxa"/>
            <w:vAlign w:val="bottom"/>
            <w:shd w:val="clear" w:color="auto" w:fill="CFF0FC"/>
          </w:tcPr>
          <w:p>
            <w:pPr>
              <w:spacing w:after="0"/>
              <w:rPr>
                <w:sz w:val="14"/>
                <w:szCs w:val="14"/>
                <w:color w:val="auto"/>
              </w:rPr>
            </w:pPr>
          </w:p>
        </w:tc>
      </w:tr>
      <w:tr>
        <w:trPr>
          <w:trHeight w:val="172"/>
        </w:trPr>
        <w:tc>
          <w:tcPr>
            <w:tcW w:w="6360" w:type="dxa"/>
            <w:vAlign w:val="bottom"/>
          </w:tcPr>
          <w:p>
            <w:pPr>
              <w:spacing w:after="0"/>
              <w:rPr>
                <w:sz w:val="20"/>
                <w:szCs w:val="20"/>
                <w:color w:val="auto"/>
              </w:rPr>
            </w:pPr>
            <w:r>
              <w:rPr>
                <w:rFonts w:ascii="Times New Roman" w:cs="Times New Roman" w:eastAsia="Times New Roman" w:hAnsi="Times New Roman"/>
                <w:sz w:val="14"/>
                <w:szCs w:val="14"/>
                <w:color w:val="auto"/>
              </w:rPr>
              <w:t>Obligations under financing leases, net of current portion</w:t>
            </w:r>
          </w:p>
        </w:tc>
        <w:tc>
          <w:tcPr>
            <w:tcW w:w="4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3,587</w:t>
            </w:r>
          </w:p>
        </w:tc>
        <w:tc>
          <w:tcPr>
            <w:tcW w:w="80" w:type="dxa"/>
            <w:vAlign w:val="bottom"/>
          </w:tcPr>
          <w:p>
            <w:pPr>
              <w:spacing w:after="0"/>
              <w:rPr>
                <w:sz w:val="14"/>
                <w:szCs w:val="14"/>
                <w:color w:val="auto"/>
              </w:rPr>
            </w:pPr>
          </w:p>
        </w:tc>
      </w:tr>
      <w:tr>
        <w:trPr>
          <w:trHeight w:val="172"/>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Long-term liabilities</w:t>
            </w:r>
          </w:p>
        </w:tc>
        <w:tc>
          <w:tcPr>
            <w:tcW w:w="44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2,773</w:t>
            </w:r>
          </w:p>
        </w:tc>
        <w:tc>
          <w:tcPr>
            <w:tcW w:w="80" w:type="dxa"/>
            <w:vAlign w:val="bottom"/>
            <w:shd w:val="clear" w:color="auto" w:fill="CFF0FC"/>
          </w:tcPr>
          <w:p>
            <w:pPr>
              <w:spacing w:after="0"/>
              <w:rPr>
                <w:sz w:val="14"/>
                <w:szCs w:val="14"/>
                <w:color w:val="auto"/>
              </w:rPr>
            </w:pPr>
          </w:p>
        </w:tc>
      </w:tr>
      <w:tr>
        <w:trPr>
          <w:trHeight w:val="172"/>
        </w:trPr>
        <w:tc>
          <w:tcPr>
            <w:tcW w:w="6360" w:type="dxa"/>
            <w:vAlign w:val="bottom"/>
          </w:tcPr>
          <w:p>
            <w:pPr>
              <w:spacing w:after="0"/>
              <w:rPr>
                <w:sz w:val="20"/>
                <w:szCs w:val="20"/>
                <w:color w:val="auto"/>
              </w:rPr>
            </w:pPr>
            <w:r>
              <w:rPr>
                <w:rFonts w:ascii="Times New Roman" w:cs="Times New Roman" w:eastAsia="Times New Roman" w:hAnsi="Times New Roman"/>
                <w:sz w:val="14"/>
                <w:szCs w:val="14"/>
                <w:color w:val="auto"/>
              </w:rPr>
              <w:t>Redeemable noncontrolling interests</w:t>
            </w:r>
          </w:p>
        </w:tc>
        <w:tc>
          <w:tcPr>
            <w:tcW w:w="4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8,084</w:t>
            </w:r>
          </w:p>
        </w:tc>
        <w:tc>
          <w:tcPr>
            <w:tcW w:w="80" w:type="dxa"/>
            <w:vAlign w:val="bottom"/>
          </w:tcPr>
          <w:p>
            <w:pPr>
              <w:spacing w:after="0"/>
              <w:rPr>
                <w:sz w:val="14"/>
                <w:szCs w:val="14"/>
                <w:color w:val="auto"/>
              </w:rPr>
            </w:pPr>
          </w:p>
        </w:tc>
      </w:tr>
      <w:tr>
        <w:trPr>
          <w:trHeight w:val="172"/>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Noncontrolling interest</w:t>
            </w:r>
          </w:p>
        </w:tc>
        <w:tc>
          <w:tcPr>
            <w:tcW w:w="44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(35)</w:t>
            </w:r>
          </w:p>
        </w:tc>
      </w:tr>
      <w:tr>
        <w:trPr>
          <w:trHeight w:val="163"/>
        </w:trPr>
        <w:tc>
          <w:tcPr>
            <w:tcW w:w="6360" w:type="dxa"/>
            <w:vAlign w:val="bottom"/>
            <w:tcBorders>
              <w:top w:val="single" w:sz="8" w:color="CFF0FC"/>
            </w:tcBorders>
          </w:tcPr>
          <w:p>
            <w:pPr>
              <w:ind w:left="140"/>
              <w:spacing w:after="0"/>
              <w:rPr>
                <w:sz w:val="20"/>
                <w:szCs w:val="20"/>
                <w:color w:val="auto"/>
              </w:rPr>
            </w:pPr>
            <w:r>
              <w:rPr>
                <w:rFonts w:ascii="Times New Roman" w:cs="Times New Roman" w:eastAsia="Times New Roman" w:hAnsi="Times New Roman"/>
                <w:sz w:val="14"/>
                <w:szCs w:val="14"/>
                <w:color w:val="auto"/>
              </w:rPr>
              <w:t>Aggregate purchase price, net of cash acquired</w:t>
            </w:r>
          </w:p>
        </w:tc>
        <w:tc>
          <w:tcPr>
            <w:tcW w:w="440" w:type="dxa"/>
            <w:vAlign w:val="bottom"/>
            <w:tcBorders>
              <w:top w:val="single" w:sz="8" w:color="auto"/>
              <w:bottom w:val="single" w:sz="8" w:color="auto"/>
            </w:tcBorders>
          </w:tcPr>
          <w:p>
            <w:pPr>
              <w:jc w:val="right"/>
              <w:ind w:right="32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238,459</w:t>
            </w:r>
          </w:p>
        </w:tc>
        <w:tc>
          <w:tcPr>
            <w:tcW w:w="80" w:type="dxa"/>
            <w:vAlign w:val="bottom"/>
            <w:tcBorders>
              <w:top w:val="single" w:sz="8" w:color="CFF0FC"/>
            </w:tcBorders>
          </w:tcPr>
          <w:p>
            <w:pPr>
              <w:spacing w:after="0"/>
              <w:rPr>
                <w:sz w:val="14"/>
                <w:szCs w:val="14"/>
                <w:color w:val="auto"/>
              </w:rPr>
            </w:pPr>
          </w:p>
        </w:tc>
      </w:tr>
      <w:tr>
        <w:trPr>
          <w:trHeight w:val="20"/>
        </w:trPr>
        <w:tc>
          <w:tcPr>
            <w:tcW w:w="63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5267325</wp:posOffset>
            </wp:positionH>
            <wp:positionV relativeFrom="paragraph">
              <wp:posOffset>-135890</wp:posOffset>
            </wp:positionV>
            <wp:extent cx="47625" cy="698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51" w:lineRule="exact"/>
        <w:rPr>
          <w:sz w:val="20"/>
          <w:szCs w:val="20"/>
          <w:color w:val="auto"/>
        </w:rPr>
      </w:pPr>
    </w:p>
    <w:p>
      <w:pPr>
        <w:ind w:left="640" w:right="699"/>
        <w:spacing w:after="0" w:line="271" w:lineRule="auto"/>
        <w:rPr>
          <w:sz w:val="20"/>
          <w:szCs w:val="20"/>
          <w:color w:val="auto"/>
        </w:rPr>
      </w:pPr>
      <w:r>
        <w:rPr>
          <w:rFonts w:ascii="Times New Roman" w:cs="Times New Roman" w:eastAsia="Times New Roman" w:hAnsi="Times New Roman"/>
          <w:sz w:val="14"/>
          <w:szCs w:val="14"/>
          <w:color w:val="auto"/>
        </w:rPr>
        <w:t>The Company acquired eight joint ventures as a part of the transaction which are recorded either as redeemable noncontrolling interests or noncontrolling interest on the unaudited condensed consolidated balance sheets based on the nature of the joint venture. During the second fiscal quarter of 2026, the Company purchased the remaining redeemable noncontrolling interest in one of the joint ventures.</w:t>
      </w:r>
    </w:p>
    <w:p>
      <w:pPr>
        <w:spacing w:after="0" w:line="314" w:lineRule="exact"/>
        <w:rPr>
          <w:sz w:val="20"/>
          <w:szCs w:val="20"/>
          <w:color w:val="auto"/>
        </w:rPr>
      </w:pPr>
    </w:p>
    <w:p>
      <w:pPr>
        <w:ind w:left="640" w:right="759"/>
        <w:spacing w:after="0" w:line="268" w:lineRule="auto"/>
        <w:rPr>
          <w:sz w:val="20"/>
          <w:szCs w:val="20"/>
          <w:color w:val="auto"/>
        </w:rPr>
      </w:pPr>
      <w:r>
        <w:rPr>
          <w:rFonts w:ascii="Times New Roman" w:cs="Times New Roman" w:eastAsia="Times New Roman" w:hAnsi="Times New Roman"/>
          <w:sz w:val="14"/>
          <w:szCs w:val="14"/>
          <w:color w:val="auto"/>
        </w:rPr>
        <w:t>The fair value of acquired licenses of $62.9 million was based upon a third-party valuation, of which $56.0 million were assigned an indefinite life. The definite-lived licenses have an estimated weighted average useful life of 10.0 years. We expect all of the goodwill will be deductible for tax purposes. The Company believes the resulting amount of goodwill reflects its expectation of synergistic benefits of the acquisition.</w:t>
      </w:r>
    </w:p>
    <w:p>
      <w:pPr>
        <w:spacing w:after="0" w:line="140" w:lineRule="exact"/>
        <w:rPr>
          <w:sz w:val="20"/>
          <w:szCs w:val="20"/>
          <w:color w:val="auto"/>
        </w:rPr>
      </w:pPr>
    </w:p>
    <w:p>
      <w:pPr>
        <w:ind w:left="640" w:right="879"/>
        <w:spacing w:after="0" w:line="274" w:lineRule="auto"/>
        <w:rPr>
          <w:sz w:val="20"/>
          <w:szCs w:val="20"/>
          <w:color w:val="auto"/>
        </w:rPr>
      </w:pPr>
      <w:r>
        <w:rPr>
          <w:rFonts w:ascii="Times New Roman" w:cs="Times New Roman" w:eastAsia="Times New Roman" w:hAnsi="Times New Roman"/>
          <w:sz w:val="14"/>
          <w:szCs w:val="14"/>
          <w:color w:val="auto"/>
        </w:rPr>
        <w:t>The Amedisys and LHC Branches Acquisition contributed $76.1 million and $232.5 million in revenue during the three and nine months ended September 30, 2026, respectively. The Amedisys and LHC Branches Acquisition contributed $6.6 million and $20.8 million in operating income during the three and nine months ended September 30, 2026, respectively. The Amedisys and LHC</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68" w:right="1440" w:bottom="1440" w:gutter="0" w:footer="0" w:header="0"/>
        </w:sectPr>
      </w:pPr>
    </w:p>
    <w:bookmarkStart w:id="18" w:name="page19"/>
    <w:bookmarkEnd w:id="18"/>
    <w:p>
      <w:pPr>
        <w:ind w:left="640" w:right="759"/>
        <w:spacing w:after="0" w:line="292" w:lineRule="auto"/>
        <w:rPr>
          <w:sz w:val="20"/>
          <w:szCs w:val="20"/>
          <w:color w:val="auto"/>
        </w:rPr>
      </w:pPr>
      <w:r>
        <w:rPr>
          <w:rFonts w:ascii="Times New Roman" w:cs="Times New Roman" w:eastAsia="Times New Roman" w:hAnsi="Times New Roman"/>
          <w:sz w:val="14"/>
          <w:szCs w:val="14"/>
          <w:color w:val="auto"/>
        </w:rPr>
        <w:t>Branches Acquisition was not completed until the fourth fiscal quarter of 2025; as such it did not contribute any revenue or operating income during the three and nine months ended September 30, 2025.</w:t>
      </w:r>
    </w:p>
    <w:p>
      <w:pPr>
        <w:spacing w:after="0" w:line="124" w:lineRule="exact"/>
        <w:rPr>
          <w:sz w:val="20"/>
          <w:szCs w:val="20"/>
          <w:color w:val="auto"/>
        </w:rPr>
      </w:pPr>
    </w:p>
    <w:p>
      <w:pPr>
        <w:ind w:left="640" w:right="1079"/>
        <w:spacing w:after="0" w:line="292" w:lineRule="auto"/>
        <w:rPr>
          <w:sz w:val="20"/>
          <w:szCs w:val="20"/>
          <w:color w:val="auto"/>
        </w:rPr>
      </w:pPr>
      <w:r>
        <w:rPr>
          <w:rFonts w:ascii="Times New Roman" w:cs="Times New Roman" w:eastAsia="Times New Roman" w:hAnsi="Times New Roman"/>
          <w:sz w:val="14"/>
          <w:szCs w:val="14"/>
          <w:color w:val="auto"/>
        </w:rPr>
        <w:t>The following table contains the unaudited pro forma consolidated financial information, assuming that the Amedisys and LHC Branches Acquisition transaction closed on January 1, 2025 (in thousands):</w:t>
      </w:r>
    </w:p>
    <w:p>
      <w:pPr>
        <w:spacing w:after="0" w:line="184" w:lineRule="exact"/>
        <w:rPr>
          <w:sz w:val="20"/>
          <w:szCs w:val="20"/>
          <w:color w:val="auto"/>
        </w:rPr>
      </w:pPr>
    </w:p>
    <w:tbl>
      <w:tblPr>
        <w:tblLayout w:type="fixed"/>
        <w:tblInd w:w="640" w:type="dxa"/>
        <w:tblCellMar>
          <w:top w:w="0" w:type="dxa"/>
          <w:left w:w="0" w:type="dxa"/>
          <w:bottom w:w="0" w:type="dxa"/>
          <w:right w:w="0" w:type="dxa"/>
        </w:tblCellMar>
      </w:tblPr>
      <w:tr>
        <w:trPr>
          <w:trHeight w:val="150"/>
        </w:trPr>
        <w:tc>
          <w:tcPr>
            <w:tcW w:w="4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For the Three Months Ended</w:t>
            </w:r>
          </w:p>
        </w:tc>
        <w:tc>
          <w:tcPr>
            <w:tcW w:w="140" w:type="dxa"/>
            <w:vAlign w:val="bottom"/>
          </w:tcPr>
          <w:p>
            <w:pPr>
              <w:spacing w:after="0"/>
              <w:rPr>
                <w:sz w:val="13"/>
                <w:szCs w:val="13"/>
                <w:color w:val="auto"/>
              </w:rPr>
            </w:pPr>
          </w:p>
        </w:tc>
        <w:tc>
          <w:tcPr>
            <w:tcW w:w="1560" w:type="dxa"/>
            <w:vAlign w:val="bottom"/>
            <w:gridSpan w:val="3"/>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For the Nine Months Ended</w:t>
            </w:r>
          </w:p>
        </w:tc>
      </w:tr>
      <w:tr>
        <w:trPr>
          <w:trHeight w:val="159"/>
        </w:trPr>
        <w:tc>
          <w:tcPr>
            <w:tcW w:w="4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tcPr>
          <w:p>
            <w:pPr>
              <w:jc w:val="center"/>
              <w:ind w:right="214"/>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September 30,</w:t>
            </w:r>
          </w:p>
        </w:tc>
      </w:tr>
      <w:tr>
        <w:trPr>
          <w:trHeight w:val="163"/>
        </w:trPr>
        <w:tc>
          <w:tcPr>
            <w:tcW w:w="4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300" w:type="dxa"/>
            <w:vAlign w:val="bottom"/>
            <w:tcBorders>
              <w:top w:val="single" w:sz="8" w:color="auto"/>
              <w:bottom w:val="single" w:sz="8" w:color="auto"/>
            </w:tcBorders>
          </w:tcPr>
          <w:p>
            <w:pPr>
              <w:jc w:val="center"/>
              <w:ind w:right="214"/>
              <w:spacing w:after="0"/>
              <w:rPr>
                <w:sz w:val="20"/>
                <w:szCs w:val="20"/>
                <w:color w:val="auto"/>
              </w:rPr>
            </w:pPr>
            <w:r>
              <w:rPr>
                <w:rFonts w:ascii="Times New Roman" w:cs="Times New Roman" w:eastAsia="Times New Roman" w:hAnsi="Times New Roman"/>
                <w:sz w:val="11"/>
                <w:szCs w:val="11"/>
                <w:b w:val="1"/>
                <w:bCs w:val="1"/>
                <w:color w:val="auto"/>
                <w:w w:val="99"/>
              </w:rPr>
              <w:t>2025</w:t>
            </w:r>
          </w:p>
        </w:tc>
        <w:tc>
          <w:tcPr>
            <w:tcW w:w="14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center"/>
              <w:ind w:right="174"/>
              <w:spacing w:after="0"/>
              <w:rPr>
                <w:sz w:val="20"/>
                <w:szCs w:val="20"/>
                <w:color w:val="auto"/>
              </w:rPr>
            </w:pPr>
            <w:r>
              <w:rPr>
                <w:rFonts w:ascii="Times New Roman" w:cs="Times New Roman" w:eastAsia="Times New Roman" w:hAnsi="Times New Roman"/>
                <w:sz w:val="11"/>
                <w:szCs w:val="11"/>
                <w:b w:val="1"/>
                <w:bCs w:val="1"/>
                <w:color w:val="auto"/>
                <w:w w:val="99"/>
              </w:rPr>
              <w:t>2025</w:t>
            </w:r>
          </w:p>
        </w:tc>
        <w:tc>
          <w:tcPr>
            <w:tcW w:w="80" w:type="dxa"/>
            <w:vAlign w:val="bottom"/>
          </w:tcPr>
          <w:p>
            <w:pPr>
              <w:spacing w:after="0"/>
              <w:rPr>
                <w:sz w:val="14"/>
                <w:szCs w:val="14"/>
                <w:color w:val="auto"/>
              </w:rPr>
            </w:pPr>
          </w:p>
        </w:tc>
      </w:tr>
      <w:tr>
        <w:trPr>
          <w:trHeight w:val="163"/>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Revenue</w:t>
            </w:r>
          </w:p>
        </w:tc>
        <w:tc>
          <w:tcPr>
            <w:tcW w:w="360" w:type="dxa"/>
            <w:vAlign w:val="bottom"/>
            <w:gridSpan w:val="2"/>
            <w:shd w:val="clear" w:color="auto" w:fill="CFF0FC"/>
          </w:tcPr>
          <w:p>
            <w:pPr>
              <w:jc w:val="right"/>
              <w:ind w:right="123"/>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3,421,917</w:t>
            </w:r>
          </w:p>
        </w:tc>
        <w:tc>
          <w:tcPr>
            <w:tcW w:w="360" w:type="dxa"/>
            <w:vAlign w:val="bottom"/>
            <w:gridSpan w:val="2"/>
            <w:shd w:val="clear" w:color="auto" w:fill="CFF0FC"/>
          </w:tcPr>
          <w:p>
            <w:pPr>
              <w:jc w:val="right"/>
              <w:ind w:right="83"/>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9,621,763</w:t>
            </w:r>
          </w:p>
        </w:tc>
        <w:tc>
          <w:tcPr>
            <w:tcW w:w="80" w:type="dxa"/>
            <w:vAlign w:val="bottom"/>
            <w:shd w:val="clear" w:color="auto" w:fill="CFF0FC"/>
          </w:tcPr>
          <w:p>
            <w:pPr>
              <w:spacing w:after="0"/>
              <w:rPr>
                <w:sz w:val="14"/>
                <w:szCs w:val="14"/>
                <w:color w:val="auto"/>
              </w:rPr>
            </w:pPr>
          </w:p>
        </w:tc>
      </w:tr>
      <w:tr>
        <w:trPr>
          <w:trHeight w:val="172"/>
        </w:trPr>
        <w:tc>
          <w:tcPr>
            <w:tcW w:w="4380" w:type="dxa"/>
            <w:vAlign w:val="bottom"/>
          </w:tcPr>
          <w:p>
            <w:pPr>
              <w:spacing w:after="0"/>
              <w:rPr>
                <w:sz w:val="20"/>
                <w:szCs w:val="20"/>
                <w:color w:val="auto"/>
              </w:rPr>
            </w:pPr>
            <w:r>
              <w:rPr>
                <w:rFonts w:ascii="Times New Roman" w:cs="Times New Roman" w:eastAsia="Times New Roman" w:hAnsi="Times New Roman"/>
                <w:sz w:val="14"/>
                <w:szCs w:val="14"/>
                <w:color w:val="auto"/>
              </w:rPr>
              <w:t>Operating income</w:t>
            </w:r>
          </w:p>
        </w:tc>
        <w:tc>
          <w:tcPr>
            <w:tcW w:w="360" w:type="dxa"/>
            <w:vAlign w:val="bottom"/>
            <w:gridSpan w:val="2"/>
          </w:tcPr>
          <w:p>
            <w:pPr>
              <w:jc w:val="right"/>
              <w:ind w:right="123"/>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94,262</w:t>
            </w:r>
          </w:p>
        </w:tc>
        <w:tc>
          <w:tcPr>
            <w:tcW w:w="360" w:type="dxa"/>
            <w:vAlign w:val="bottom"/>
            <w:gridSpan w:val="2"/>
          </w:tcPr>
          <w:p>
            <w:pPr>
              <w:jc w:val="right"/>
              <w:ind w:right="83"/>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207,087</w:t>
            </w:r>
          </w:p>
        </w:tc>
        <w:tc>
          <w:tcPr>
            <w:tcW w:w="80" w:type="dxa"/>
            <w:vAlign w:val="bottom"/>
          </w:tcPr>
          <w:p>
            <w:pPr>
              <w:spacing w:after="0"/>
              <w:rPr>
                <w:sz w:val="14"/>
                <w:szCs w:val="14"/>
                <w:color w:val="auto"/>
              </w:rPr>
            </w:pPr>
          </w:p>
        </w:tc>
      </w:tr>
      <w:tr>
        <w:trPr>
          <w:trHeight w:val="157"/>
        </w:trPr>
        <w:tc>
          <w:tcPr>
            <w:tcW w:w="4380" w:type="dxa"/>
            <w:vAlign w:val="bottom"/>
            <w:shd w:val="clear" w:color="auto" w:fill="CFF0FC"/>
          </w:tcPr>
          <w:p>
            <w:pPr>
              <w:spacing w:after="0" w:line="157" w:lineRule="exact"/>
              <w:rPr>
                <w:sz w:val="20"/>
                <w:szCs w:val="20"/>
                <w:color w:val="auto"/>
              </w:rPr>
            </w:pPr>
            <w:r>
              <w:rPr>
                <w:rFonts w:ascii="Times New Roman" w:cs="Times New Roman" w:eastAsia="Times New Roman" w:hAnsi="Times New Roman"/>
                <w:sz w:val="14"/>
                <w:szCs w:val="14"/>
                <w:color w:val="auto"/>
              </w:rPr>
              <w:t>Net income from continuing operations attributable to BrightSpring Health</w:t>
            </w:r>
          </w:p>
        </w:tc>
        <w:tc>
          <w:tcPr>
            <w:tcW w:w="1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3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r>
      <w:tr>
        <w:trPr>
          <w:trHeight w:val="187"/>
        </w:trPr>
        <w:tc>
          <w:tcPr>
            <w:tcW w:w="43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Services, Inc. and subsidiaries</w:t>
            </w:r>
          </w:p>
        </w:tc>
        <w:tc>
          <w:tcPr>
            <w:tcW w:w="360" w:type="dxa"/>
            <w:vAlign w:val="bottom"/>
            <w:gridSpan w:val="2"/>
            <w:shd w:val="clear" w:color="auto" w:fill="CFF0FC"/>
          </w:tcPr>
          <w:p>
            <w:pPr>
              <w:jc w:val="right"/>
              <w:ind w:right="123"/>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42,769</w:t>
            </w:r>
          </w:p>
        </w:tc>
        <w:tc>
          <w:tcPr>
            <w:tcW w:w="360" w:type="dxa"/>
            <w:vAlign w:val="bottom"/>
            <w:gridSpan w:val="2"/>
            <w:shd w:val="clear" w:color="auto" w:fill="CFF0FC"/>
          </w:tcPr>
          <w:p>
            <w:pPr>
              <w:jc w:val="right"/>
              <w:ind w:right="83"/>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71,601</w:t>
            </w:r>
          </w:p>
        </w:tc>
        <w:tc>
          <w:tcPr>
            <w:tcW w:w="80" w:type="dxa"/>
            <w:vAlign w:val="bottom"/>
            <w:shd w:val="clear" w:color="auto" w:fill="CFF0FC"/>
          </w:tcPr>
          <w:p>
            <w:pPr>
              <w:spacing w:after="0"/>
              <w:rPr>
                <w:sz w:val="16"/>
                <w:szCs w:val="16"/>
                <w:color w:val="auto"/>
              </w:rPr>
            </w:pPr>
          </w:p>
        </w:tc>
      </w:tr>
    </w:tbl>
    <w:p>
      <w:pPr>
        <w:spacing w:after="0" w:line="157" w:lineRule="exact"/>
        <w:rPr>
          <w:sz w:val="20"/>
          <w:szCs w:val="20"/>
          <w:color w:val="auto"/>
        </w:rPr>
      </w:pPr>
    </w:p>
    <w:p>
      <w:pPr>
        <w:ind w:left="640" w:right="899"/>
        <w:spacing w:after="0" w:line="265" w:lineRule="auto"/>
        <w:rPr>
          <w:sz w:val="20"/>
          <w:szCs w:val="20"/>
          <w:color w:val="auto"/>
        </w:rPr>
      </w:pPr>
      <w:r>
        <w:rPr>
          <w:rFonts w:ascii="Times New Roman" w:cs="Times New Roman" w:eastAsia="Times New Roman" w:hAnsi="Times New Roman"/>
          <w:sz w:val="14"/>
          <w:szCs w:val="14"/>
          <w:color w:val="auto"/>
        </w:rPr>
        <w:t>These pro forma results include adjustments for current factors that would affect the business, including non-recurring transaction costs, depreciation, amortization of acquired intangible assets, and income taxes based on the Company’s statutory tax rate. The unaudited pro forma financial information is not necessarily indicative of either future results of operations or results of operations that might have been achieved had the acquisition been consummated as of January 1, 2025 and does not reflect any operating efficiencies and cost savings that may be realized from the integration of the acquisition.</w:t>
      </w:r>
    </w:p>
    <w:p>
      <w:pPr>
        <w:spacing w:after="0" w:line="14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u w:val="single" w:color="auto"/>
          <w:color w:val="auto"/>
        </w:rPr>
        <w:t>Others</w:t>
      </w:r>
    </w:p>
    <w:p>
      <w:pPr>
        <w:spacing w:after="0" w:line="185" w:lineRule="exact"/>
        <w:rPr>
          <w:sz w:val="20"/>
          <w:szCs w:val="20"/>
          <w:color w:val="auto"/>
        </w:rPr>
      </w:pPr>
    </w:p>
    <w:p>
      <w:pPr>
        <w:ind w:left="640" w:right="739"/>
        <w:spacing w:after="0" w:line="292" w:lineRule="auto"/>
        <w:rPr>
          <w:sz w:val="20"/>
          <w:szCs w:val="20"/>
          <w:color w:val="auto"/>
        </w:rPr>
      </w:pPr>
      <w:r>
        <w:rPr>
          <w:rFonts w:ascii="Times New Roman" w:cs="Times New Roman" w:eastAsia="Times New Roman" w:hAnsi="Times New Roman"/>
          <w:sz w:val="14"/>
          <w:szCs w:val="14"/>
          <w:color w:val="auto"/>
        </w:rPr>
        <w:t>Aggregate consideration for the two other acquisitions completed in 2025 was approximately $8.5 million. No cash was acquired as a part of these transactions. The operating results of the acquisitions are not material to our results of operations.</w:t>
      </w:r>
    </w:p>
    <w:p>
      <w:pPr>
        <w:spacing w:after="0" w:line="124" w:lineRule="exact"/>
        <w:rPr>
          <w:sz w:val="20"/>
          <w:szCs w:val="20"/>
          <w:color w:val="auto"/>
        </w:rPr>
      </w:pPr>
    </w:p>
    <w:p>
      <w:pPr>
        <w:ind w:left="640" w:right="719"/>
        <w:spacing w:after="0" w:line="265" w:lineRule="auto"/>
        <w:rPr>
          <w:sz w:val="20"/>
          <w:szCs w:val="20"/>
          <w:color w:val="auto"/>
        </w:rPr>
      </w:pPr>
      <w:r>
        <w:rPr>
          <w:rFonts w:ascii="Times New Roman" w:cs="Times New Roman" w:eastAsia="Times New Roman" w:hAnsi="Times New Roman"/>
          <w:sz w:val="14"/>
          <w:szCs w:val="14"/>
          <w:color w:val="auto"/>
        </w:rPr>
        <w:t>The Company expects to finalize the purchase price allocation for the 2025 acquisitions prior to the one-year anniversary date of each acquisition. During the three and nine months ended September 30, 2025, the Company incurred $3.2 million and $12.1 million, respectively, of transaction costs related to all 2025 acquisitions, including those acquisitions completed in subsequent quarters of 2025. These costs are included in selling, general, and administrative expenses in our unaudited condensed consolidated statements of operations.</w:t>
      </w:r>
    </w:p>
    <w:p>
      <w:pPr>
        <w:spacing w:after="0" w:line="2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5. Goodwill and Intangible Assets</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A summary of changes to goodwill, by reportable segment, is as follows (in thousands):</w:t>
      </w:r>
    </w:p>
    <w:p>
      <w:pPr>
        <w:spacing w:after="0" w:line="178" w:lineRule="exact"/>
        <w:rPr>
          <w:sz w:val="20"/>
          <w:szCs w:val="20"/>
          <w:color w:val="auto"/>
        </w:rPr>
      </w:pPr>
    </w:p>
    <w:tbl>
      <w:tblPr>
        <w:tblLayout w:type="fixed"/>
        <w:tblInd w:w="640" w:type="dxa"/>
        <w:tblCellMar>
          <w:top w:w="0" w:type="dxa"/>
          <w:left w:w="0" w:type="dxa"/>
          <w:bottom w:w="0" w:type="dxa"/>
          <w:right w:w="0" w:type="dxa"/>
        </w:tblCellMar>
      </w:tblPr>
      <w:tr>
        <w:trPr>
          <w:trHeight w:val="137"/>
        </w:trPr>
        <w:tc>
          <w:tcPr>
            <w:tcW w:w="38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gridSpan w:val="2"/>
          </w:tcPr>
          <w:p>
            <w:pPr>
              <w:jc w:val="right"/>
              <w:ind w:right="520"/>
              <w:spacing w:after="0"/>
              <w:rPr>
                <w:sz w:val="20"/>
                <w:szCs w:val="20"/>
                <w:color w:val="auto"/>
              </w:rPr>
            </w:pPr>
            <w:r>
              <w:rPr>
                <w:rFonts w:ascii="Times New Roman" w:cs="Times New Roman" w:eastAsia="Times New Roman" w:hAnsi="Times New Roman"/>
                <w:sz w:val="11"/>
                <w:szCs w:val="11"/>
                <w:b w:val="1"/>
                <w:bCs w:val="1"/>
                <w:color w:val="auto"/>
              </w:rPr>
              <w:t>Goodwill</w:t>
            </w:r>
          </w:p>
        </w:tc>
        <w:tc>
          <w:tcPr>
            <w:tcW w:w="2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109"/>
        </w:trPr>
        <w:tc>
          <w:tcPr>
            <w:tcW w:w="38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jc w:val="right"/>
              <w:ind w:right="31"/>
              <w:spacing w:after="0" w:line="109" w:lineRule="exact"/>
              <w:rPr>
                <w:sz w:val="20"/>
                <w:szCs w:val="20"/>
                <w:color w:val="auto"/>
              </w:rPr>
            </w:pPr>
            <w:r>
              <w:rPr>
                <w:rFonts w:ascii="Times New Roman" w:cs="Times New Roman" w:eastAsia="Times New Roman" w:hAnsi="Times New Roman"/>
                <w:sz w:val="11"/>
                <w:szCs w:val="11"/>
                <w:b w:val="1"/>
                <w:bCs w:val="1"/>
                <w:color w:val="auto"/>
              </w:rPr>
              <w:t>Pharmacy Solutions</w:t>
            </w:r>
          </w:p>
        </w:tc>
        <w:tc>
          <w:tcPr>
            <w:tcW w:w="1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jc w:val="right"/>
              <w:ind w:right="73"/>
              <w:spacing w:after="0" w:line="109" w:lineRule="exact"/>
              <w:rPr>
                <w:sz w:val="20"/>
                <w:szCs w:val="20"/>
                <w:color w:val="auto"/>
              </w:rPr>
            </w:pPr>
            <w:r>
              <w:rPr>
                <w:rFonts w:ascii="Times New Roman" w:cs="Times New Roman" w:eastAsia="Times New Roman" w:hAnsi="Times New Roman"/>
                <w:sz w:val="11"/>
                <w:szCs w:val="11"/>
                <w:b w:val="1"/>
                <w:bCs w:val="1"/>
                <w:color w:val="auto"/>
              </w:rPr>
              <w:t>Provider Services</w:t>
            </w:r>
          </w:p>
        </w:tc>
        <w:tc>
          <w:tcPr>
            <w:tcW w:w="16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jc w:val="right"/>
              <w:ind w:right="391"/>
              <w:spacing w:after="0" w:line="109" w:lineRule="exact"/>
              <w:rPr>
                <w:sz w:val="20"/>
                <w:szCs w:val="20"/>
                <w:color w:val="auto"/>
              </w:rPr>
            </w:pPr>
            <w:r>
              <w:rPr>
                <w:rFonts w:ascii="Times New Roman" w:cs="Times New Roman" w:eastAsia="Times New Roman" w:hAnsi="Times New Roman"/>
                <w:sz w:val="11"/>
                <w:szCs w:val="11"/>
                <w:b w:val="1"/>
                <w:bCs w:val="1"/>
                <w:color w:val="auto"/>
              </w:rPr>
              <w:t>Total</w:t>
            </w:r>
          </w:p>
        </w:tc>
        <w:tc>
          <w:tcPr>
            <w:tcW w:w="80" w:type="dxa"/>
            <w:vAlign w:val="bottom"/>
          </w:tcPr>
          <w:p>
            <w:pPr>
              <w:spacing w:after="0"/>
              <w:rPr>
                <w:sz w:val="9"/>
                <w:szCs w:val="9"/>
                <w:color w:val="auto"/>
              </w:rPr>
            </w:pPr>
          </w:p>
        </w:tc>
      </w:tr>
      <w:tr>
        <w:trPr>
          <w:trHeight w:val="163"/>
        </w:trPr>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Goodwill at January 1, 2026*</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841,052</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1,704,621</w:t>
            </w:r>
          </w:p>
        </w:tc>
        <w:tc>
          <w:tcPr>
            <w:tcW w:w="160" w:type="dxa"/>
            <w:vAlign w:val="bottom"/>
            <w:shd w:val="clear" w:color="auto" w:fill="CFF0FC"/>
          </w:tcPr>
          <w:p>
            <w:pPr>
              <w:spacing w:after="0"/>
              <w:rPr>
                <w:sz w:val="14"/>
                <w:szCs w:val="14"/>
                <w:color w:val="auto"/>
              </w:rPr>
            </w:pPr>
          </w:p>
        </w:tc>
        <w:tc>
          <w:tcPr>
            <w:tcW w:w="260" w:type="dxa"/>
            <w:vAlign w:val="bottom"/>
            <w:shd w:val="clear" w:color="auto" w:fill="CFF0FC"/>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2,545,673</w:t>
            </w:r>
          </w:p>
        </w:tc>
        <w:tc>
          <w:tcPr>
            <w:tcW w:w="80" w:type="dxa"/>
            <w:vAlign w:val="bottom"/>
            <w:shd w:val="clear" w:color="auto" w:fill="CFF0FC"/>
          </w:tcPr>
          <w:p>
            <w:pPr>
              <w:spacing w:after="0"/>
              <w:rPr>
                <w:sz w:val="14"/>
                <w:szCs w:val="14"/>
                <w:color w:val="auto"/>
              </w:rPr>
            </w:pPr>
          </w:p>
        </w:tc>
      </w:tr>
      <w:tr>
        <w:trPr>
          <w:trHeight w:val="172"/>
        </w:trPr>
        <w:tc>
          <w:tcPr>
            <w:tcW w:w="3880" w:type="dxa"/>
            <w:vAlign w:val="bottom"/>
          </w:tcPr>
          <w:p>
            <w:pPr>
              <w:spacing w:after="0"/>
              <w:rPr>
                <w:sz w:val="20"/>
                <w:szCs w:val="20"/>
                <w:color w:val="auto"/>
              </w:rPr>
            </w:pPr>
            <w:r>
              <w:rPr>
                <w:rFonts w:ascii="Times New Roman" w:cs="Times New Roman" w:eastAsia="Times New Roman" w:hAnsi="Times New Roman"/>
                <w:sz w:val="14"/>
                <w:szCs w:val="14"/>
                <w:color w:val="auto"/>
              </w:rPr>
              <w:t>Goodwill added through acquisitions</w:t>
            </w:r>
          </w:p>
        </w:tc>
        <w:tc>
          <w:tcPr>
            <w:tcW w:w="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1,206</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1,206</w:t>
            </w:r>
          </w:p>
        </w:tc>
        <w:tc>
          <w:tcPr>
            <w:tcW w:w="80" w:type="dxa"/>
            <w:vAlign w:val="bottom"/>
          </w:tcPr>
          <w:p>
            <w:pPr>
              <w:spacing w:after="0"/>
              <w:rPr>
                <w:sz w:val="14"/>
                <w:szCs w:val="14"/>
                <w:color w:val="auto"/>
              </w:rPr>
            </w:pPr>
          </w:p>
        </w:tc>
      </w:tr>
      <w:tr>
        <w:trPr>
          <w:trHeight w:val="172"/>
        </w:trPr>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Measurement period adjustments</w:t>
            </w:r>
          </w:p>
        </w:tc>
        <w:tc>
          <w:tcPr>
            <w:tcW w:w="8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(9,614)</w:t>
            </w:r>
          </w:p>
        </w:tc>
        <w:tc>
          <w:tcPr>
            <w:tcW w:w="26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(9,614)</w:t>
            </w:r>
          </w:p>
        </w:tc>
      </w:tr>
      <w:tr>
        <w:trPr>
          <w:trHeight w:val="172"/>
        </w:trPr>
        <w:tc>
          <w:tcPr>
            <w:tcW w:w="3880" w:type="dxa"/>
            <w:vAlign w:val="bottom"/>
          </w:tcPr>
          <w:p>
            <w:pPr>
              <w:spacing w:after="0"/>
              <w:rPr>
                <w:sz w:val="20"/>
                <w:szCs w:val="20"/>
                <w:color w:val="auto"/>
              </w:rPr>
            </w:pPr>
            <w:r>
              <w:rPr>
                <w:rFonts w:ascii="Times New Roman" w:cs="Times New Roman" w:eastAsia="Times New Roman" w:hAnsi="Times New Roman"/>
                <w:sz w:val="14"/>
                <w:szCs w:val="14"/>
                <w:color w:val="auto"/>
              </w:rPr>
              <w:t>Foreign currency adjustments</w:t>
            </w:r>
          </w:p>
        </w:tc>
        <w:tc>
          <w:tcPr>
            <w:tcW w:w="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(137)</w:t>
            </w:r>
          </w:p>
        </w:tc>
        <w:tc>
          <w:tcPr>
            <w:tcW w:w="260" w:type="dxa"/>
            <w:vAlign w:val="bottom"/>
          </w:tcPr>
          <w:p>
            <w:pPr>
              <w:spacing w:after="0"/>
              <w:rPr>
                <w:sz w:val="14"/>
                <w:szCs w:val="14"/>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(137)</w:t>
            </w:r>
          </w:p>
        </w:tc>
      </w:tr>
      <w:tr>
        <w:trPr>
          <w:trHeight w:val="203"/>
        </w:trPr>
        <w:tc>
          <w:tcPr>
            <w:tcW w:w="38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Goodwill at September 30, 2026*</w:t>
            </w: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841,052</w:t>
            </w:r>
          </w:p>
        </w:tc>
        <w:tc>
          <w:tcPr>
            <w:tcW w:w="1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1,696,076</w:t>
            </w:r>
          </w:p>
        </w:tc>
        <w:tc>
          <w:tcPr>
            <w:tcW w:w="16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top w:val="single" w:sz="8" w:color="auto"/>
              <w:bottom w:val="single" w:sz="8" w:color="auto"/>
            </w:tcBorders>
            <w:shd w:val="clear" w:color="auto" w:fill="CFF0FC"/>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2,537,128</w:t>
            </w:r>
          </w:p>
        </w:tc>
        <w:tc>
          <w:tcPr>
            <w:tcW w:w="80" w:type="dxa"/>
            <w:vAlign w:val="bottom"/>
            <w:tcBorders>
              <w:bottom w:val="single" w:sz="8" w:color="CFF0FC"/>
            </w:tcBorders>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3603625</wp:posOffset>
            </wp:positionH>
            <wp:positionV relativeFrom="paragraph">
              <wp:posOffset>-19685</wp:posOffset>
            </wp:positionV>
            <wp:extent cx="47625" cy="698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3603625</wp:posOffset>
            </wp:positionH>
            <wp:positionV relativeFrom="paragraph">
              <wp:posOffset>-6350</wp:posOffset>
            </wp:positionV>
            <wp:extent cx="47625" cy="698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4435475</wp:posOffset>
            </wp:positionH>
            <wp:positionV relativeFrom="paragraph">
              <wp:posOffset>-19685</wp:posOffset>
            </wp:positionV>
            <wp:extent cx="47625" cy="698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4435475</wp:posOffset>
            </wp:positionH>
            <wp:positionV relativeFrom="paragraph">
              <wp:posOffset>-6350</wp:posOffset>
            </wp:positionV>
            <wp:extent cx="47625" cy="698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-19685</wp:posOffset>
            </wp:positionV>
            <wp:extent cx="47625" cy="698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-6350</wp:posOffset>
            </wp:positionV>
            <wp:extent cx="47625" cy="698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137" w:lineRule="exact"/>
        <w:rPr>
          <w:sz w:val="20"/>
          <w:szCs w:val="20"/>
          <w:color w:val="auto"/>
        </w:rPr>
      </w:pPr>
    </w:p>
    <w:p>
      <w:pPr>
        <w:ind w:left="640" w:right="979" w:hanging="2"/>
        <w:spacing w:after="0" w:line="292" w:lineRule="auto"/>
        <w:tabs>
          <w:tab w:leader="none" w:pos="747"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periods presented, the carrying amount of goodwill is presented net of accumulated impairment losses of $40.9 million, which were incurred in fiscal year 2022.</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70" w:right="1440" w:bottom="1440" w:gutter="0" w:footer="0" w:header="0"/>
        </w:sectPr>
      </w:pPr>
    </w:p>
    <w:bookmarkStart w:id="19" w:name="page20"/>
    <w:bookmarkEnd w:id="19"/>
    <w:p>
      <w:pPr>
        <w:ind w:left="640"/>
        <w:spacing w:after="0"/>
        <w:rPr>
          <w:sz w:val="20"/>
          <w:szCs w:val="20"/>
          <w:color w:val="auto"/>
        </w:rPr>
      </w:pPr>
      <w:r>
        <w:rPr>
          <w:rFonts w:ascii="Times New Roman" w:cs="Times New Roman" w:eastAsia="Times New Roman" w:hAnsi="Times New Roman"/>
          <w:sz w:val="14"/>
          <w:szCs w:val="14"/>
          <w:color w:val="auto"/>
        </w:rPr>
        <w:t>Intangible assets are as follows (in thousands):</w:t>
      </w:r>
    </w:p>
    <w:p>
      <w:pPr>
        <w:spacing w:after="0" w:line="182" w:lineRule="exact"/>
        <w:rPr>
          <w:sz w:val="20"/>
          <w:szCs w:val="20"/>
          <w:color w:val="auto"/>
        </w:rPr>
      </w:pPr>
    </w:p>
    <w:tbl>
      <w:tblPr>
        <w:tblLayout w:type="fixed"/>
        <w:tblInd w:w="640" w:type="dxa"/>
        <w:tblCellMar>
          <w:top w:w="0" w:type="dxa"/>
          <w:left w:w="0" w:type="dxa"/>
          <w:bottom w:w="0" w:type="dxa"/>
          <w:right w:w="0" w:type="dxa"/>
        </w:tblCellMar>
      </w:tblPr>
      <w:tr>
        <w:trPr>
          <w:trHeight w:val="123"/>
        </w:trPr>
        <w:tc>
          <w:tcPr>
            <w:tcW w:w="18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0"/>
                <w:szCs w:val="10"/>
                <w:b w:val="1"/>
                <w:bCs w:val="1"/>
                <w:color w:val="auto"/>
              </w:rPr>
              <w:t>September 30, 2026</w:t>
            </w:r>
          </w:p>
        </w:tc>
        <w:tc>
          <w:tcPr>
            <w:tcW w:w="1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0"/>
                <w:szCs w:val="10"/>
                <w:b w:val="1"/>
                <w:bCs w:val="1"/>
                <w:color w:val="auto"/>
                <w:w w:val="98"/>
              </w:rPr>
              <w:t>December 31, 2025</w:t>
            </w:r>
          </w:p>
        </w:tc>
        <w:tc>
          <w:tcPr>
            <w:tcW w:w="1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rPr>
              <w:t>Life</w:t>
            </w:r>
          </w:p>
        </w:tc>
        <w:tc>
          <w:tcPr>
            <w:tcW w:w="0" w:type="dxa"/>
            <w:vAlign w:val="bottom"/>
          </w:tcPr>
          <w:p>
            <w:pPr>
              <w:spacing w:after="0"/>
              <w:rPr>
                <w:sz w:val="1"/>
                <w:szCs w:val="1"/>
                <w:color w:val="auto"/>
              </w:rPr>
            </w:pPr>
          </w:p>
        </w:tc>
      </w:tr>
      <w:tr>
        <w:trPr>
          <w:trHeight w:val="83"/>
        </w:trPr>
        <w:tc>
          <w:tcPr>
            <w:tcW w:w="186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gridSpan w:val="3"/>
          </w:tcPr>
          <w:p>
            <w:pPr>
              <w:ind w:left="20"/>
              <w:spacing w:after="0" w:line="83" w:lineRule="exact"/>
              <w:rPr>
                <w:sz w:val="20"/>
                <w:szCs w:val="20"/>
                <w:color w:val="auto"/>
              </w:rPr>
            </w:pPr>
            <w:r>
              <w:rPr>
                <w:rFonts w:ascii="Times New Roman" w:cs="Times New Roman" w:eastAsia="Times New Roman" w:hAnsi="Times New Roman"/>
                <w:sz w:val="9"/>
                <w:szCs w:val="9"/>
                <w:b w:val="1"/>
                <w:bCs w:val="1"/>
                <w:color w:val="auto"/>
              </w:rPr>
              <w:t>Accumulated</w:t>
            </w:r>
          </w:p>
        </w:tc>
        <w:tc>
          <w:tcPr>
            <w:tcW w:w="600" w:type="dxa"/>
            <w:vAlign w:val="bottom"/>
            <w:gridSpan w:val="2"/>
          </w:tcPr>
          <w:p>
            <w:pPr>
              <w:spacing w:after="0" w:line="83" w:lineRule="exact"/>
              <w:rPr>
                <w:sz w:val="20"/>
                <w:szCs w:val="20"/>
                <w:color w:val="auto"/>
              </w:rPr>
            </w:pPr>
            <w:r>
              <w:rPr>
                <w:rFonts w:ascii="Times New Roman" w:cs="Times New Roman" w:eastAsia="Times New Roman" w:hAnsi="Times New Roman"/>
                <w:sz w:val="9"/>
                <w:szCs w:val="9"/>
                <w:b w:val="1"/>
                <w:bCs w:val="1"/>
                <w:color w:val="auto"/>
              </w:rPr>
              <w:t>Net Carrying</w:t>
            </w: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gridSpan w:val="3"/>
          </w:tcPr>
          <w:p>
            <w:pPr>
              <w:jc w:val="center"/>
              <w:ind w:right="160"/>
              <w:spacing w:after="0" w:line="83" w:lineRule="exact"/>
              <w:rPr>
                <w:sz w:val="20"/>
                <w:szCs w:val="20"/>
                <w:color w:val="auto"/>
              </w:rPr>
            </w:pPr>
            <w:r>
              <w:rPr>
                <w:rFonts w:ascii="Times New Roman" w:cs="Times New Roman" w:eastAsia="Times New Roman" w:hAnsi="Times New Roman"/>
                <w:sz w:val="9"/>
                <w:szCs w:val="9"/>
                <w:b w:val="1"/>
                <w:bCs w:val="1"/>
                <w:color w:val="auto"/>
              </w:rPr>
              <w:t>Accumulated</w:t>
            </w:r>
          </w:p>
        </w:tc>
        <w:tc>
          <w:tcPr>
            <w:tcW w:w="620" w:type="dxa"/>
            <w:vAlign w:val="bottom"/>
            <w:gridSpan w:val="2"/>
          </w:tcPr>
          <w:p>
            <w:pPr>
              <w:spacing w:after="0" w:line="83" w:lineRule="exact"/>
              <w:rPr>
                <w:sz w:val="20"/>
                <w:szCs w:val="20"/>
                <w:color w:val="auto"/>
              </w:rPr>
            </w:pPr>
            <w:r>
              <w:rPr>
                <w:rFonts w:ascii="Times New Roman" w:cs="Times New Roman" w:eastAsia="Times New Roman" w:hAnsi="Times New Roman"/>
                <w:sz w:val="9"/>
                <w:szCs w:val="9"/>
                <w:b w:val="1"/>
                <w:bCs w:val="1"/>
                <w:color w:val="auto"/>
              </w:rPr>
              <w:t>Net Carrying</w:t>
            </w:r>
          </w:p>
        </w:tc>
        <w:tc>
          <w:tcPr>
            <w:tcW w:w="16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18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0"/>
                <w:szCs w:val="10"/>
                <w:b w:val="1"/>
                <w:bCs w:val="1"/>
                <w:color w:val="auto"/>
              </w:rPr>
              <w:t>Gross</w:t>
            </w:r>
          </w:p>
        </w:tc>
        <w:tc>
          <w:tcPr>
            <w:tcW w:w="180" w:type="dxa"/>
            <w:vAlign w:val="bottom"/>
          </w:tcPr>
          <w:p>
            <w:pPr>
              <w:spacing w:after="0"/>
              <w:rPr>
                <w:sz w:val="10"/>
                <w:szCs w:val="10"/>
                <w:color w:val="auto"/>
              </w:rPr>
            </w:pPr>
          </w:p>
        </w:tc>
        <w:tc>
          <w:tcPr>
            <w:tcW w:w="6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rPr>
              <w:t>Amortization</w:t>
            </w:r>
          </w:p>
        </w:tc>
        <w:tc>
          <w:tcPr>
            <w:tcW w:w="1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0"/>
                <w:szCs w:val="10"/>
                <w:b w:val="1"/>
                <w:bCs w:val="1"/>
                <w:color w:val="auto"/>
              </w:rPr>
              <w:t>Value</w:t>
            </w:r>
          </w:p>
        </w:tc>
        <w:tc>
          <w:tcPr>
            <w:tcW w:w="220" w:type="dxa"/>
            <w:vAlign w:val="bottom"/>
          </w:tcPr>
          <w:p>
            <w:pPr>
              <w:spacing w:after="0"/>
              <w:rPr>
                <w:sz w:val="10"/>
                <w:szCs w:val="10"/>
                <w:color w:val="auto"/>
              </w:rPr>
            </w:pPr>
          </w:p>
        </w:tc>
        <w:tc>
          <w:tcPr>
            <w:tcW w:w="54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0"/>
                <w:szCs w:val="10"/>
                <w:b w:val="1"/>
                <w:bCs w:val="1"/>
                <w:color w:val="auto"/>
              </w:rPr>
              <w:t>Gross</w:t>
            </w:r>
          </w:p>
        </w:tc>
        <w:tc>
          <w:tcPr>
            <w:tcW w:w="160" w:type="dxa"/>
            <w:vAlign w:val="bottom"/>
          </w:tcPr>
          <w:p>
            <w:pPr>
              <w:spacing w:after="0"/>
              <w:rPr>
                <w:sz w:val="10"/>
                <w:szCs w:val="10"/>
                <w:color w:val="auto"/>
              </w:rPr>
            </w:pPr>
          </w:p>
        </w:tc>
        <w:tc>
          <w:tcPr>
            <w:tcW w:w="6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w w:val="97"/>
              </w:rPr>
              <w:t>Amortization</w:t>
            </w:r>
          </w:p>
        </w:tc>
        <w:tc>
          <w:tcPr>
            <w:tcW w:w="1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0"/>
                <w:szCs w:val="10"/>
                <w:b w:val="1"/>
                <w:bCs w:val="1"/>
                <w:color w:val="auto"/>
              </w:rPr>
              <w:t>Value</w:t>
            </w:r>
          </w:p>
        </w:tc>
        <w:tc>
          <w:tcPr>
            <w:tcW w:w="160" w:type="dxa"/>
            <w:vAlign w:val="bottom"/>
          </w:tcPr>
          <w:p>
            <w:pPr>
              <w:spacing w:after="0"/>
              <w:rPr>
                <w:sz w:val="10"/>
                <w:szCs w:val="10"/>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rPr>
              <w:t>(Years)</w:t>
            </w:r>
          </w:p>
        </w:tc>
        <w:tc>
          <w:tcPr>
            <w:tcW w:w="0" w:type="dxa"/>
            <w:vAlign w:val="bottom"/>
          </w:tcPr>
          <w:p>
            <w:pPr>
              <w:spacing w:after="0"/>
              <w:rPr>
                <w:sz w:val="1"/>
                <w:szCs w:val="1"/>
                <w:color w:val="auto"/>
              </w:rPr>
            </w:pPr>
          </w:p>
        </w:tc>
      </w:tr>
      <w:tr>
        <w:trPr>
          <w:trHeight w:val="152"/>
        </w:trPr>
        <w:tc>
          <w:tcPr>
            <w:tcW w:w="18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Customer relationships</w:t>
            </w:r>
          </w:p>
        </w:tc>
        <w:tc>
          <w:tcPr>
            <w:tcW w:w="6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500,173</w:t>
            </w:r>
          </w:p>
        </w:tc>
        <w:tc>
          <w:tcPr>
            <w:tcW w:w="320" w:type="dxa"/>
            <w:vAlign w:val="bottom"/>
            <w:gridSpan w:val="2"/>
            <w:shd w:val="clear" w:color="auto" w:fill="CFF0FC"/>
          </w:tcPr>
          <w:p>
            <w:pPr>
              <w:jc w:val="right"/>
              <w:ind w:right="32"/>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394,444</w:t>
            </w: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105,729</w:t>
            </w:r>
          </w:p>
        </w:tc>
        <w:tc>
          <w:tcPr>
            <w:tcW w:w="2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502,160</w:t>
            </w:r>
          </w:p>
        </w:tc>
        <w:tc>
          <w:tcPr>
            <w:tcW w:w="28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356,146</w:t>
            </w:r>
          </w:p>
        </w:tc>
        <w:tc>
          <w:tcPr>
            <w:tcW w:w="160" w:type="dxa"/>
            <w:vAlign w:val="bottom"/>
            <w:tcBorders>
              <w:right w:val="single" w:sz="8" w:color="CFF0FC"/>
            </w:tcBorders>
            <w:shd w:val="clear" w:color="auto" w:fill="CFF0FC"/>
          </w:tcPr>
          <w:p>
            <w:pPr>
              <w:spacing w:after="0"/>
              <w:rPr>
                <w:sz w:val="13"/>
                <w:szCs w:val="13"/>
                <w:color w:val="auto"/>
              </w:rPr>
            </w:pP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146,014</w:t>
            </w:r>
          </w:p>
        </w:tc>
        <w:tc>
          <w:tcPr>
            <w:tcW w:w="860" w:type="dxa"/>
            <w:vAlign w:val="bottom"/>
            <w:gridSpan w:val="2"/>
            <w:shd w:val="clear" w:color="auto" w:fill="CFF0FC"/>
          </w:tcPr>
          <w:p>
            <w:pPr>
              <w:jc w:val="center"/>
              <w:ind w:left="76"/>
              <w:spacing w:after="0"/>
              <w:rPr>
                <w:sz w:val="20"/>
                <w:szCs w:val="20"/>
                <w:color w:val="auto"/>
              </w:rPr>
            </w:pPr>
            <w:r>
              <w:rPr>
                <w:rFonts w:ascii="Times New Roman" w:cs="Times New Roman" w:eastAsia="Times New Roman" w:hAnsi="Times New Roman"/>
                <w:sz w:val="13"/>
                <w:szCs w:val="13"/>
                <w:color w:val="auto"/>
              </w:rPr>
              <w:t>5-20</w:t>
            </w:r>
          </w:p>
        </w:tc>
        <w:tc>
          <w:tcPr>
            <w:tcW w:w="0" w:type="dxa"/>
            <w:vAlign w:val="bottom"/>
          </w:tcPr>
          <w:p>
            <w:pPr>
              <w:spacing w:after="0"/>
              <w:rPr>
                <w:sz w:val="1"/>
                <w:szCs w:val="1"/>
                <w:color w:val="auto"/>
              </w:rPr>
            </w:pPr>
          </w:p>
        </w:tc>
      </w:tr>
      <w:tr>
        <w:trPr>
          <w:trHeight w:val="161"/>
        </w:trPr>
        <w:tc>
          <w:tcPr>
            <w:tcW w:w="1860" w:type="dxa"/>
            <w:vAlign w:val="bottom"/>
          </w:tcPr>
          <w:p>
            <w:pPr>
              <w:spacing w:after="0"/>
              <w:rPr>
                <w:sz w:val="20"/>
                <w:szCs w:val="20"/>
                <w:color w:val="auto"/>
              </w:rPr>
            </w:pPr>
            <w:r>
              <w:rPr>
                <w:rFonts w:ascii="Times New Roman" w:cs="Times New Roman" w:eastAsia="Times New Roman" w:hAnsi="Times New Roman"/>
                <w:sz w:val="13"/>
                <w:szCs w:val="13"/>
                <w:color w:val="auto"/>
              </w:rPr>
              <w:t>Trade names</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315,368</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169,485</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145,883</w:t>
            </w:r>
          </w:p>
        </w:tc>
        <w:tc>
          <w:tcPr>
            <w:tcW w:w="2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318,768</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154,601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164,167</w:t>
            </w:r>
          </w:p>
        </w:tc>
        <w:tc>
          <w:tcPr>
            <w:tcW w:w="860" w:type="dxa"/>
            <w:vAlign w:val="bottom"/>
            <w:gridSpan w:val="2"/>
          </w:tcPr>
          <w:p>
            <w:pPr>
              <w:jc w:val="center"/>
              <w:ind w:left="76"/>
              <w:spacing w:after="0"/>
              <w:rPr>
                <w:sz w:val="20"/>
                <w:szCs w:val="20"/>
                <w:color w:val="auto"/>
              </w:rPr>
            </w:pPr>
            <w:r>
              <w:rPr>
                <w:rFonts w:ascii="Times New Roman" w:cs="Times New Roman" w:eastAsia="Times New Roman" w:hAnsi="Times New Roman"/>
                <w:sz w:val="13"/>
                <w:szCs w:val="13"/>
                <w:color w:val="auto"/>
              </w:rPr>
              <w:t>2-20</w:t>
            </w:r>
          </w:p>
        </w:tc>
        <w:tc>
          <w:tcPr>
            <w:tcW w:w="0" w:type="dxa"/>
            <w:vAlign w:val="bottom"/>
          </w:tcPr>
          <w:p>
            <w:pPr>
              <w:spacing w:after="0"/>
              <w:rPr>
                <w:sz w:val="1"/>
                <w:szCs w:val="1"/>
                <w:color w:val="auto"/>
              </w:rPr>
            </w:pPr>
          </w:p>
        </w:tc>
      </w:tr>
      <w:tr>
        <w:trPr>
          <w:trHeight w:val="161"/>
        </w:trPr>
        <w:tc>
          <w:tcPr>
            <w:tcW w:w="18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Licenses</w:t>
            </w:r>
          </w:p>
        </w:tc>
        <w:tc>
          <w:tcPr>
            <w:tcW w:w="5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66,979</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22,091</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44,888</w:t>
            </w:r>
          </w:p>
        </w:tc>
        <w:tc>
          <w:tcPr>
            <w:tcW w:w="220" w:type="dxa"/>
            <w:vAlign w:val="bottom"/>
            <w:tcBorders>
              <w:right w:val="single" w:sz="8" w:color="CFF0FC"/>
            </w:tcBorders>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67,395</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18,886</w:t>
            </w:r>
          </w:p>
        </w:tc>
        <w:tc>
          <w:tcPr>
            <w:tcW w:w="160" w:type="dxa"/>
            <w:vAlign w:val="bottom"/>
            <w:tcBorders>
              <w:right w:val="single" w:sz="8" w:color="CFF0FC"/>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48,509</w:t>
            </w:r>
          </w:p>
        </w:tc>
        <w:tc>
          <w:tcPr>
            <w:tcW w:w="860" w:type="dxa"/>
            <w:vAlign w:val="bottom"/>
            <w:gridSpan w:val="2"/>
            <w:shd w:val="clear" w:color="auto" w:fill="CFF0FC"/>
          </w:tcPr>
          <w:p>
            <w:pPr>
              <w:jc w:val="center"/>
              <w:ind w:left="56"/>
              <w:spacing w:after="0"/>
              <w:rPr>
                <w:sz w:val="20"/>
                <w:szCs w:val="20"/>
                <w:color w:val="auto"/>
              </w:rPr>
            </w:pPr>
            <w:r>
              <w:rPr>
                <w:rFonts w:ascii="Times New Roman" w:cs="Times New Roman" w:eastAsia="Times New Roman" w:hAnsi="Times New Roman"/>
                <w:sz w:val="13"/>
                <w:szCs w:val="13"/>
                <w:color w:val="auto"/>
                <w:w w:val="98"/>
              </w:rPr>
              <w:t>10-20</w:t>
            </w:r>
          </w:p>
        </w:tc>
        <w:tc>
          <w:tcPr>
            <w:tcW w:w="0" w:type="dxa"/>
            <w:vAlign w:val="bottom"/>
          </w:tcPr>
          <w:p>
            <w:pPr>
              <w:spacing w:after="0"/>
              <w:rPr>
                <w:sz w:val="1"/>
                <w:szCs w:val="1"/>
                <w:color w:val="auto"/>
              </w:rPr>
            </w:pPr>
          </w:p>
        </w:tc>
      </w:tr>
      <w:tr>
        <w:trPr>
          <w:trHeight w:val="161"/>
        </w:trPr>
        <w:tc>
          <w:tcPr>
            <w:tcW w:w="1860" w:type="dxa"/>
            <w:vAlign w:val="bottom"/>
          </w:tcPr>
          <w:p>
            <w:pPr>
              <w:spacing w:after="0"/>
              <w:rPr>
                <w:sz w:val="20"/>
                <w:szCs w:val="20"/>
                <w:color w:val="auto"/>
              </w:rPr>
            </w:pPr>
            <w:r>
              <w:rPr>
                <w:rFonts w:ascii="Times New Roman" w:cs="Times New Roman" w:eastAsia="Times New Roman" w:hAnsi="Times New Roman"/>
                <w:sz w:val="13"/>
                <w:szCs w:val="13"/>
                <w:color w:val="auto"/>
              </w:rPr>
              <w:t>Doctor/payor network</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3,300</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3,025</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275</w:t>
            </w:r>
          </w:p>
        </w:tc>
        <w:tc>
          <w:tcPr>
            <w:tcW w:w="2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5,650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4,987</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663</w:t>
            </w:r>
          </w:p>
        </w:tc>
        <w:tc>
          <w:tcPr>
            <w:tcW w:w="860" w:type="dxa"/>
            <w:vAlign w:val="bottom"/>
            <w:gridSpan w:val="2"/>
          </w:tcPr>
          <w:p>
            <w:pPr>
              <w:jc w:val="center"/>
              <w:ind w:left="76"/>
              <w:spacing w:after="0"/>
              <w:rPr>
                <w:sz w:val="20"/>
                <w:szCs w:val="20"/>
                <w:color w:val="auto"/>
              </w:rPr>
            </w:pPr>
            <w:r>
              <w:rPr>
                <w:rFonts w:ascii="Times New Roman" w:cs="Times New Roman" w:eastAsia="Times New Roman" w:hAnsi="Times New Roman"/>
                <w:sz w:val="13"/>
                <w:szCs w:val="13"/>
                <w:color w:val="auto"/>
                <w:w w:val="92"/>
              </w:rPr>
              <w:t>5-8</w:t>
            </w:r>
          </w:p>
        </w:tc>
        <w:tc>
          <w:tcPr>
            <w:tcW w:w="0" w:type="dxa"/>
            <w:vAlign w:val="bottom"/>
          </w:tcPr>
          <w:p>
            <w:pPr>
              <w:spacing w:after="0"/>
              <w:rPr>
                <w:sz w:val="1"/>
                <w:szCs w:val="1"/>
                <w:color w:val="auto"/>
              </w:rPr>
            </w:pPr>
          </w:p>
        </w:tc>
      </w:tr>
      <w:tr>
        <w:trPr>
          <w:trHeight w:val="161"/>
        </w:trPr>
        <w:tc>
          <w:tcPr>
            <w:tcW w:w="18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Covenants not to compete</w:t>
            </w:r>
          </w:p>
        </w:tc>
        <w:tc>
          <w:tcPr>
            <w:tcW w:w="5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4,134</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2,616</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1,518</w:t>
            </w:r>
          </w:p>
        </w:tc>
        <w:tc>
          <w:tcPr>
            <w:tcW w:w="220" w:type="dxa"/>
            <w:vAlign w:val="bottom"/>
            <w:tcBorders>
              <w:right w:val="single" w:sz="8" w:color="CFF0FC"/>
            </w:tcBorders>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6,654</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4,717</w:t>
            </w:r>
          </w:p>
        </w:tc>
        <w:tc>
          <w:tcPr>
            <w:tcW w:w="160" w:type="dxa"/>
            <w:vAlign w:val="bottom"/>
            <w:tcBorders>
              <w:right w:val="single" w:sz="8" w:color="CFF0FC"/>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1,937</w:t>
            </w:r>
          </w:p>
        </w:tc>
        <w:tc>
          <w:tcPr>
            <w:tcW w:w="860" w:type="dxa"/>
            <w:vAlign w:val="bottom"/>
            <w:gridSpan w:val="2"/>
            <w:shd w:val="clear" w:color="auto" w:fill="CFF0FC"/>
          </w:tcPr>
          <w:p>
            <w:pPr>
              <w:jc w:val="center"/>
              <w:ind w:left="76"/>
              <w:spacing w:after="0"/>
              <w:rPr>
                <w:sz w:val="20"/>
                <w:szCs w:val="20"/>
                <w:color w:val="auto"/>
              </w:rPr>
            </w:pPr>
            <w:r>
              <w:rPr>
                <w:rFonts w:ascii="Times New Roman" w:cs="Times New Roman" w:eastAsia="Times New Roman" w:hAnsi="Times New Roman"/>
                <w:sz w:val="13"/>
                <w:szCs w:val="13"/>
                <w:color w:val="auto"/>
                <w:w w:val="92"/>
              </w:rPr>
              <w:t>2-7</w:t>
            </w:r>
          </w:p>
        </w:tc>
        <w:tc>
          <w:tcPr>
            <w:tcW w:w="0" w:type="dxa"/>
            <w:vAlign w:val="bottom"/>
          </w:tcPr>
          <w:p>
            <w:pPr>
              <w:spacing w:after="0"/>
              <w:rPr>
                <w:sz w:val="1"/>
                <w:szCs w:val="1"/>
                <w:color w:val="auto"/>
              </w:rPr>
            </w:pPr>
          </w:p>
        </w:tc>
      </w:tr>
      <w:tr>
        <w:trPr>
          <w:trHeight w:val="161"/>
        </w:trPr>
        <w:tc>
          <w:tcPr>
            <w:tcW w:w="1860" w:type="dxa"/>
            <w:vAlign w:val="bottom"/>
          </w:tcPr>
          <w:p>
            <w:pPr>
              <w:spacing w:after="0"/>
              <w:rPr>
                <w:sz w:val="20"/>
                <w:szCs w:val="20"/>
                <w:color w:val="auto"/>
              </w:rPr>
            </w:pPr>
            <w:r>
              <w:rPr>
                <w:rFonts w:ascii="Times New Roman" w:cs="Times New Roman" w:eastAsia="Times New Roman" w:hAnsi="Times New Roman"/>
                <w:sz w:val="13"/>
                <w:szCs w:val="13"/>
                <w:color w:val="auto"/>
              </w:rPr>
              <w:t>Other intangible assets</w:t>
            </w:r>
          </w:p>
        </w:tc>
        <w:tc>
          <w:tcPr>
            <w:tcW w:w="5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10,940</w:t>
            </w: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9,097</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1,843</w:t>
            </w:r>
          </w:p>
        </w:tc>
        <w:tc>
          <w:tcPr>
            <w:tcW w:w="220" w:type="dxa"/>
            <w:vAlign w:val="bottom"/>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10,940</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7,925</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3,015</w:t>
            </w:r>
          </w:p>
        </w:tc>
        <w:tc>
          <w:tcPr>
            <w:tcW w:w="860" w:type="dxa"/>
            <w:vAlign w:val="bottom"/>
            <w:gridSpan w:val="2"/>
          </w:tcPr>
          <w:p>
            <w:pPr>
              <w:jc w:val="center"/>
              <w:ind w:left="76"/>
              <w:spacing w:after="0"/>
              <w:rPr>
                <w:sz w:val="20"/>
                <w:szCs w:val="20"/>
                <w:color w:val="auto"/>
              </w:rPr>
            </w:pPr>
            <w:r>
              <w:rPr>
                <w:rFonts w:ascii="Times New Roman" w:cs="Times New Roman" w:eastAsia="Times New Roman" w:hAnsi="Times New Roman"/>
                <w:sz w:val="13"/>
                <w:szCs w:val="13"/>
                <w:color w:val="auto"/>
                <w:w w:val="92"/>
              </w:rPr>
              <w:t>5-7</w:t>
            </w:r>
          </w:p>
        </w:tc>
        <w:tc>
          <w:tcPr>
            <w:tcW w:w="0" w:type="dxa"/>
            <w:vAlign w:val="bottom"/>
          </w:tcPr>
          <w:p>
            <w:pPr>
              <w:spacing w:after="0"/>
              <w:rPr>
                <w:sz w:val="1"/>
                <w:szCs w:val="1"/>
                <w:color w:val="auto"/>
              </w:rPr>
            </w:pPr>
          </w:p>
        </w:tc>
      </w:tr>
      <w:tr>
        <w:trPr>
          <w:trHeight w:val="152"/>
        </w:trPr>
        <w:tc>
          <w:tcPr>
            <w:tcW w:w="18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Total definite-lived assets</w:t>
            </w:r>
          </w:p>
        </w:tc>
        <w:tc>
          <w:tcPr>
            <w:tcW w:w="6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900,894</w:t>
            </w:r>
          </w:p>
        </w:tc>
        <w:tc>
          <w:tcPr>
            <w:tcW w:w="320" w:type="dxa"/>
            <w:vAlign w:val="bottom"/>
            <w:gridSpan w:val="2"/>
            <w:shd w:val="clear" w:color="auto" w:fill="CFF0FC"/>
          </w:tcPr>
          <w:p>
            <w:pPr>
              <w:jc w:val="right"/>
              <w:ind w:right="32"/>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600,758</w:t>
            </w: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300,136</w:t>
            </w:r>
          </w:p>
        </w:tc>
        <w:tc>
          <w:tcPr>
            <w:tcW w:w="2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911,567</w:t>
            </w:r>
          </w:p>
        </w:tc>
        <w:tc>
          <w:tcPr>
            <w:tcW w:w="28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547,262</w:t>
            </w:r>
          </w:p>
        </w:tc>
        <w:tc>
          <w:tcPr>
            <w:tcW w:w="160" w:type="dxa"/>
            <w:vAlign w:val="bottom"/>
            <w:tcBorders>
              <w:right w:val="single" w:sz="8" w:color="CFF0FC"/>
            </w:tcBorders>
            <w:shd w:val="clear" w:color="auto" w:fill="CFF0FC"/>
          </w:tcPr>
          <w:p>
            <w:pPr>
              <w:spacing w:after="0"/>
              <w:rPr>
                <w:sz w:val="13"/>
                <w:szCs w:val="13"/>
                <w:color w:val="auto"/>
              </w:rPr>
            </w:pP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364,305</w:t>
            </w:r>
          </w:p>
        </w:tc>
        <w:tc>
          <w:tcPr>
            <w:tcW w:w="16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860" w:type="dxa"/>
            <w:vAlign w:val="bottom"/>
          </w:tcPr>
          <w:p>
            <w:pPr>
              <w:spacing w:after="0"/>
              <w:rPr>
                <w:sz w:val="20"/>
                <w:szCs w:val="20"/>
                <w:color w:val="auto"/>
              </w:rPr>
            </w:pPr>
            <w:r>
              <w:rPr>
                <w:rFonts w:ascii="Times New Roman" w:cs="Times New Roman" w:eastAsia="Times New Roman" w:hAnsi="Times New Roman"/>
                <w:sz w:val="13"/>
                <w:szCs w:val="13"/>
                <w:color w:val="auto"/>
              </w:rPr>
              <w:t>Licenses</w:t>
            </w:r>
          </w:p>
        </w:tc>
        <w:tc>
          <w:tcPr>
            <w:tcW w:w="5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191,525</w:t>
            </w: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191,525</w:t>
            </w:r>
          </w:p>
        </w:tc>
        <w:tc>
          <w:tcPr>
            <w:tcW w:w="220" w:type="dxa"/>
            <w:vAlign w:val="bottom"/>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193,250</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193,250</w:t>
            </w:r>
          </w:p>
        </w:tc>
        <w:tc>
          <w:tcPr>
            <w:tcW w:w="16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Indefinite</w:t>
            </w:r>
          </w:p>
        </w:tc>
        <w:tc>
          <w:tcPr>
            <w:tcW w:w="0" w:type="dxa"/>
            <w:vAlign w:val="bottom"/>
          </w:tcPr>
          <w:p>
            <w:pPr>
              <w:spacing w:after="0"/>
              <w:rPr>
                <w:sz w:val="1"/>
                <w:szCs w:val="1"/>
                <w:color w:val="auto"/>
              </w:rPr>
            </w:pPr>
          </w:p>
        </w:tc>
      </w:tr>
      <w:tr>
        <w:trPr>
          <w:trHeight w:val="172"/>
        </w:trPr>
        <w:tc>
          <w:tcPr>
            <w:tcW w:w="18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Total intangible assets</w:t>
            </w:r>
          </w:p>
        </w:tc>
        <w:tc>
          <w:tcPr>
            <w:tcW w:w="6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9"/>
              </w:rPr>
              <w:t>1,092,419</w:t>
            </w:r>
          </w:p>
        </w:tc>
        <w:tc>
          <w:tcPr>
            <w:tcW w:w="320" w:type="dxa"/>
            <w:vAlign w:val="bottom"/>
            <w:gridSpan w:val="2"/>
            <w:shd w:val="clear" w:color="auto" w:fill="CFF0FC"/>
          </w:tcPr>
          <w:p>
            <w:pPr>
              <w:jc w:val="right"/>
              <w:ind w:right="32"/>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600,758</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491,661</w:t>
            </w:r>
          </w:p>
        </w:tc>
        <w:tc>
          <w:tcPr>
            <w:tcW w:w="2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9"/>
              </w:rPr>
              <w:t>1,104,817</w:t>
            </w:r>
          </w:p>
        </w:tc>
        <w:tc>
          <w:tcPr>
            <w:tcW w:w="28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547,262</w:t>
            </w:r>
          </w:p>
        </w:tc>
        <w:tc>
          <w:tcPr>
            <w:tcW w:w="160" w:type="dxa"/>
            <w:vAlign w:val="bottom"/>
            <w:tcBorders>
              <w:right w:val="single" w:sz="8" w:color="CFF0FC"/>
            </w:tcBorders>
            <w:shd w:val="clear" w:color="auto" w:fill="CFF0FC"/>
          </w:tcPr>
          <w:p>
            <w:pPr>
              <w:spacing w:after="0"/>
              <w:rPr>
                <w:sz w:val="14"/>
                <w:szCs w:val="14"/>
                <w:color w:val="auto"/>
              </w:rPr>
            </w:pP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557,555</w:t>
            </w: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6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2314575</wp:posOffset>
            </wp:positionH>
            <wp:positionV relativeFrom="paragraph">
              <wp:posOffset>-19685</wp:posOffset>
            </wp:positionV>
            <wp:extent cx="54610" cy="698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2314575</wp:posOffset>
            </wp:positionH>
            <wp:positionV relativeFrom="paragraph">
              <wp:posOffset>-6350</wp:posOffset>
            </wp:positionV>
            <wp:extent cx="54610" cy="698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2825750</wp:posOffset>
            </wp:positionH>
            <wp:positionV relativeFrom="paragraph">
              <wp:posOffset>-19685</wp:posOffset>
            </wp:positionV>
            <wp:extent cx="54610" cy="698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2825750</wp:posOffset>
            </wp:positionH>
            <wp:positionV relativeFrom="paragraph">
              <wp:posOffset>-6350</wp:posOffset>
            </wp:positionV>
            <wp:extent cx="54610" cy="698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3317240</wp:posOffset>
            </wp:positionH>
            <wp:positionV relativeFrom="paragraph">
              <wp:posOffset>-19685</wp:posOffset>
            </wp:positionV>
            <wp:extent cx="47625" cy="698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3317240</wp:posOffset>
            </wp:positionH>
            <wp:positionV relativeFrom="paragraph">
              <wp:posOffset>-6350</wp:posOffset>
            </wp:positionV>
            <wp:extent cx="47625" cy="698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3801110</wp:posOffset>
            </wp:positionH>
            <wp:positionV relativeFrom="paragraph">
              <wp:posOffset>-19685</wp:posOffset>
            </wp:positionV>
            <wp:extent cx="47625" cy="698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3801110</wp:posOffset>
            </wp:positionH>
            <wp:positionV relativeFrom="paragraph">
              <wp:posOffset>-6350</wp:posOffset>
            </wp:positionV>
            <wp:extent cx="47625" cy="698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4284980</wp:posOffset>
            </wp:positionH>
            <wp:positionV relativeFrom="paragraph">
              <wp:posOffset>-19685</wp:posOffset>
            </wp:positionV>
            <wp:extent cx="47625" cy="698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4284980</wp:posOffset>
            </wp:positionH>
            <wp:positionV relativeFrom="paragraph">
              <wp:posOffset>-6350</wp:posOffset>
            </wp:positionV>
            <wp:extent cx="47625" cy="698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4776470</wp:posOffset>
            </wp:positionH>
            <wp:positionV relativeFrom="paragraph">
              <wp:posOffset>-19685</wp:posOffset>
            </wp:positionV>
            <wp:extent cx="47625" cy="698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4776470</wp:posOffset>
            </wp:positionH>
            <wp:positionV relativeFrom="paragraph">
              <wp:posOffset>-6350</wp:posOffset>
            </wp:positionV>
            <wp:extent cx="47625" cy="698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137" w:lineRule="exact"/>
        <w:rPr>
          <w:sz w:val="20"/>
          <w:szCs w:val="20"/>
          <w:color w:val="auto"/>
        </w:rPr>
      </w:pPr>
    </w:p>
    <w:p>
      <w:pPr>
        <w:ind w:left="640" w:right="779"/>
        <w:spacing w:after="0" w:line="292" w:lineRule="auto"/>
        <w:rPr>
          <w:sz w:val="20"/>
          <w:szCs w:val="20"/>
          <w:color w:val="auto"/>
        </w:rPr>
      </w:pPr>
      <w:r>
        <w:rPr>
          <w:rFonts w:ascii="Times New Roman" w:cs="Times New Roman" w:eastAsia="Times New Roman" w:hAnsi="Times New Roman"/>
          <w:sz w:val="14"/>
          <w:szCs w:val="14"/>
          <w:color w:val="auto"/>
        </w:rPr>
        <w:t>Amortization expense for the three and nine months ended September 30, 2026 was $18.5 million and $61.6 million, respectively, as compared to $22.7 million and $69.7 million for the three and nine months ended September 30, 2025, respectively.</w:t>
      </w:r>
    </w:p>
    <w:p>
      <w:pPr>
        <w:spacing w:after="0" w:line="2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6. Debt and Derivatives</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The table below summarizes the total outstanding debt of the Company (in thousands):</w:t>
      </w:r>
    </w:p>
    <w:p>
      <w:pPr>
        <w:spacing w:after="0" w:line="178" w:lineRule="exact"/>
        <w:rPr>
          <w:sz w:val="20"/>
          <w:szCs w:val="20"/>
          <w:color w:val="auto"/>
        </w:rPr>
      </w:pPr>
    </w:p>
    <w:tbl>
      <w:tblPr>
        <w:tblLayout w:type="fixed"/>
        <w:tblInd w:w="640" w:type="dxa"/>
        <w:tblCellMar>
          <w:top w:w="0" w:type="dxa"/>
          <w:left w:w="0" w:type="dxa"/>
          <w:bottom w:w="0" w:type="dxa"/>
          <w:right w:w="0" w:type="dxa"/>
        </w:tblCellMar>
      </w:tblPr>
      <w:tr>
        <w:trPr>
          <w:trHeight w:val="137"/>
        </w:trPr>
        <w:tc>
          <w:tcPr>
            <w:tcW w:w="4700" w:type="dxa"/>
            <w:vAlign w:val="bottom"/>
          </w:tcPr>
          <w:p>
            <w:pPr>
              <w:spacing w:after="0"/>
              <w:rPr>
                <w:sz w:val="11"/>
                <w:szCs w:val="11"/>
                <w:color w:val="auto"/>
              </w:rPr>
            </w:pPr>
          </w:p>
        </w:tc>
        <w:tc>
          <w:tcPr>
            <w:tcW w:w="1460" w:type="dxa"/>
            <w:vAlign w:val="bottom"/>
            <w:gridSpan w:val="4"/>
          </w:tcPr>
          <w:p>
            <w:pPr>
              <w:jc w:val="right"/>
              <w:ind w:right="190"/>
              <w:spacing w:after="0"/>
              <w:rPr>
                <w:sz w:val="20"/>
                <w:szCs w:val="20"/>
                <w:color w:val="auto"/>
              </w:rPr>
            </w:pPr>
            <w:r>
              <w:rPr>
                <w:rFonts w:ascii="Times New Roman" w:cs="Times New Roman" w:eastAsia="Times New Roman" w:hAnsi="Times New Roman"/>
                <w:sz w:val="11"/>
                <w:szCs w:val="11"/>
                <w:b w:val="1"/>
                <w:bCs w:val="1"/>
                <w:color w:val="auto"/>
              </w:rPr>
              <w:t>September 30, 2026</w:t>
            </w:r>
          </w:p>
        </w:tc>
        <w:tc>
          <w:tcPr>
            <w:tcW w:w="160" w:type="dxa"/>
            <w:vAlign w:val="bottom"/>
          </w:tcPr>
          <w:p>
            <w:pPr>
              <w:spacing w:after="0"/>
              <w:rPr>
                <w:sz w:val="11"/>
                <w:szCs w:val="11"/>
                <w:color w:val="auto"/>
              </w:rPr>
            </w:pPr>
          </w:p>
        </w:tc>
        <w:tc>
          <w:tcPr>
            <w:tcW w:w="1420" w:type="dxa"/>
            <w:vAlign w:val="bottom"/>
            <w:gridSpan w:val="5"/>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December 31, 2025</w:t>
            </w:r>
          </w:p>
        </w:tc>
      </w:tr>
      <w:tr>
        <w:trPr>
          <w:trHeight w:val="109"/>
        </w:trPr>
        <w:tc>
          <w:tcPr>
            <w:tcW w:w="4700" w:type="dxa"/>
            <w:vAlign w:val="bottom"/>
          </w:tcPr>
          <w:p>
            <w:pPr>
              <w:spacing w:after="0"/>
              <w:rPr>
                <w:sz w:val="9"/>
                <w:szCs w:val="9"/>
                <w:color w:val="auto"/>
              </w:rPr>
            </w:pPr>
          </w:p>
        </w:tc>
        <w:tc>
          <w:tcPr>
            <w:tcW w:w="500" w:type="dxa"/>
            <w:vAlign w:val="bottom"/>
            <w:tcBorders>
              <w:top w:val="single" w:sz="8" w:color="auto"/>
              <w:bottom w:val="single" w:sz="8" w:color="auto"/>
            </w:tcBorders>
          </w:tcPr>
          <w:p>
            <w:pPr>
              <w:jc w:val="right"/>
              <w:ind w:right="75"/>
              <w:spacing w:after="0" w:line="109" w:lineRule="exact"/>
              <w:rPr>
                <w:sz w:val="20"/>
                <w:szCs w:val="20"/>
                <w:color w:val="auto"/>
              </w:rPr>
            </w:pPr>
            <w:r>
              <w:rPr>
                <w:rFonts w:ascii="Times New Roman" w:cs="Times New Roman" w:eastAsia="Times New Roman" w:hAnsi="Times New Roman"/>
                <w:sz w:val="11"/>
                <w:szCs w:val="11"/>
                <w:b w:val="1"/>
                <w:bCs w:val="1"/>
                <w:color w:val="auto"/>
              </w:rPr>
              <w:t>Rate</w:t>
            </w:r>
          </w:p>
        </w:tc>
        <w:tc>
          <w:tcPr>
            <w:tcW w:w="240" w:type="dxa"/>
            <w:vAlign w:val="bottom"/>
            <w:tcBorders>
              <w:top w:val="single" w:sz="8" w:color="auto"/>
            </w:tcBorders>
          </w:tcPr>
          <w:p>
            <w:pPr>
              <w:spacing w:after="0"/>
              <w:rPr>
                <w:sz w:val="9"/>
                <w:szCs w:val="9"/>
                <w:color w:val="auto"/>
              </w:rPr>
            </w:pPr>
          </w:p>
        </w:tc>
        <w:tc>
          <w:tcPr>
            <w:tcW w:w="100" w:type="dxa"/>
            <w:vAlign w:val="bottom"/>
            <w:tcBorders>
              <w:top w:val="single" w:sz="8" w:color="auto"/>
              <w:bottom w:val="single" w:sz="8" w:color="auto"/>
            </w:tcBorders>
          </w:tcPr>
          <w:p>
            <w:pPr>
              <w:spacing w:after="0"/>
              <w:rPr>
                <w:sz w:val="9"/>
                <w:szCs w:val="9"/>
                <w:color w:val="auto"/>
              </w:rPr>
            </w:pPr>
          </w:p>
        </w:tc>
        <w:tc>
          <w:tcPr>
            <w:tcW w:w="620" w:type="dxa"/>
            <w:vAlign w:val="bottom"/>
            <w:tcBorders>
              <w:top w:val="single" w:sz="8" w:color="auto"/>
              <w:bottom w:val="single" w:sz="8" w:color="auto"/>
            </w:tcBorders>
          </w:tcPr>
          <w:p>
            <w:pPr>
              <w:jc w:val="right"/>
              <w:ind w:right="90"/>
              <w:spacing w:after="0" w:line="109" w:lineRule="exact"/>
              <w:rPr>
                <w:sz w:val="20"/>
                <w:szCs w:val="20"/>
                <w:color w:val="auto"/>
              </w:rPr>
            </w:pPr>
            <w:r>
              <w:rPr>
                <w:rFonts w:ascii="Times New Roman" w:cs="Times New Roman" w:eastAsia="Times New Roman" w:hAnsi="Times New Roman"/>
                <w:sz w:val="11"/>
                <w:szCs w:val="11"/>
                <w:b w:val="1"/>
                <w:bCs w:val="1"/>
                <w:color w:val="auto"/>
              </w:rPr>
              <w:t>Amount</w:t>
            </w:r>
          </w:p>
        </w:tc>
        <w:tc>
          <w:tcPr>
            <w:tcW w:w="160" w:type="dxa"/>
            <w:vAlign w:val="bottom"/>
          </w:tcPr>
          <w:p>
            <w:pPr>
              <w:spacing w:after="0"/>
              <w:rPr>
                <w:sz w:val="9"/>
                <w:szCs w:val="9"/>
                <w:color w:val="auto"/>
              </w:rPr>
            </w:pPr>
          </w:p>
        </w:tc>
        <w:tc>
          <w:tcPr>
            <w:tcW w:w="420" w:type="dxa"/>
            <w:vAlign w:val="bottom"/>
            <w:tcBorders>
              <w:top w:val="single" w:sz="8" w:color="auto"/>
              <w:bottom w:val="single" w:sz="8" w:color="auto"/>
            </w:tcBorders>
          </w:tcPr>
          <w:p>
            <w:pPr>
              <w:jc w:val="right"/>
              <w:ind w:right="42"/>
              <w:spacing w:after="0" w:line="109" w:lineRule="exact"/>
              <w:rPr>
                <w:sz w:val="20"/>
                <w:szCs w:val="20"/>
                <w:color w:val="auto"/>
              </w:rPr>
            </w:pPr>
            <w:r>
              <w:rPr>
                <w:rFonts w:ascii="Times New Roman" w:cs="Times New Roman" w:eastAsia="Times New Roman" w:hAnsi="Times New Roman"/>
                <w:sz w:val="11"/>
                <w:szCs w:val="11"/>
                <w:b w:val="1"/>
                <w:bCs w:val="1"/>
                <w:color w:val="auto"/>
              </w:rPr>
              <w:t>Rate</w:t>
            </w:r>
          </w:p>
        </w:tc>
        <w:tc>
          <w:tcPr>
            <w:tcW w:w="220" w:type="dxa"/>
            <w:vAlign w:val="bottom"/>
            <w:tcBorders>
              <w:top w:val="single" w:sz="8" w:color="auto"/>
            </w:tcBorders>
          </w:tcPr>
          <w:p>
            <w:pPr>
              <w:spacing w:after="0"/>
              <w:rPr>
                <w:sz w:val="9"/>
                <w:szCs w:val="9"/>
                <w:color w:val="auto"/>
              </w:rPr>
            </w:pPr>
          </w:p>
        </w:tc>
        <w:tc>
          <w:tcPr>
            <w:tcW w:w="100" w:type="dxa"/>
            <w:vAlign w:val="bottom"/>
            <w:tcBorders>
              <w:top w:val="single" w:sz="8" w:color="auto"/>
              <w:bottom w:val="single" w:sz="8" w:color="auto"/>
            </w:tcBorders>
          </w:tcPr>
          <w:p>
            <w:pPr>
              <w:spacing w:after="0"/>
              <w:rPr>
                <w:sz w:val="9"/>
                <w:szCs w:val="9"/>
                <w:color w:val="auto"/>
              </w:rPr>
            </w:pPr>
          </w:p>
        </w:tc>
        <w:tc>
          <w:tcPr>
            <w:tcW w:w="600" w:type="dxa"/>
            <w:vAlign w:val="bottom"/>
            <w:tcBorders>
              <w:top w:val="single" w:sz="8" w:color="auto"/>
              <w:bottom w:val="single" w:sz="8" w:color="auto"/>
            </w:tcBorders>
          </w:tcPr>
          <w:p>
            <w:pPr>
              <w:jc w:val="right"/>
              <w:ind w:right="90"/>
              <w:spacing w:after="0" w:line="109" w:lineRule="exact"/>
              <w:rPr>
                <w:sz w:val="20"/>
                <w:szCs w:val="20"/>
                <w:color w:val="auto"/>
              </w:rPr>
            </w:pPr>
            <w:r>
              <w:rPr>
                <w:rFonts w:ascii="Times New Roman" w:cs="Times New Roman" w:eastAsia="Times New Roman" w:hAnsi="Times New Roman"/>
                <w:sz w:val="11"/>
                <w:szCs w:val="11"/>
                <w:b w:val="1"/>
                <w:bCs w:val="1"/>
                <w:color w:val="auto"/>
              </w:rPr>
              <w:t>Amount</w:t>
            </w:r>
          </w:p>
        </w:tc>
        <w:tc>
          <w:tcPr>
            <w:tcW w:w="80" w:type="dxa"/>
            <w:vAlign w:val="bottom"/>
          </w:tcPr>
          <w:p>
            <w:pPr>
              <w:spacing w:after="0"/>
              <w:rPr>
                <w:sz w:val="9"/>
                <w:szCs w:val="9"/>
                <w:color w:val="auto"/>
              </w:rPr>
            </w:pPr>
          </w:p>
        </w:tc>
      </w:tr>
      <w:tr>
        <w:trPr>
          <w:trHeight w:val="148"/>
        </w:trPr>
        <w:tc>
          <w:tcPr>
            <w:tcW w:w="4700" w:type="dxa"/>
            <w:vAlign w:val="bottom"/>
            <w:shd w:val="clear" w:color="auto" w:fill="CFF0FC"/>
          </w:tcPr>
          <w:p>
            <w:pPr>
              <w:spacing w:after="0" w:line="148" w:lineRule="exact"/>
              <w:rPr>
                <w:sz w:val="20"/>
                <w:szCs w:val="20"/>
                <w:color w:val="auto"/>
              </w:rPr>
            </w:pPr>
            <w:r>
              <w:rPr>
                <w:rFonts w:ascii="Times New Roman" w:cs="Times New Roman" w:eastAsia="Times New Roman" w:hAnsi="Times New Roman"/>
                <w:sz w:val="14"/>
                <w:szCs w:val="14"/>
                <w:color w:val="auto"/>
              </w:rPr>
              <w:t>First Lien Incremental Term Loan Tranche B-6 - payable to lenders at SOFR</w:t>
            </w:r>
          </w:p>
        </w:tc>
        <w:tc>
          <w:tcPr>
            <w:tcW w:w="740" w:type="dxa"/>
            <w:vAlign w:val="bottom"/>
            <w:gridSpan w:val="2"/>
            <w:shd w:val="clear" w:color="auto" w:fill="CFF0FC"/>
          </w:tcPr>
          <w:p>
            <w:pPr>
              <w:jc w:val="right"/>
              <w:ind w:right="120"/>
              <w:spacing w:after="0" w:line="148" w:lineRule="exact"/>
              <w:rPr>
                <w:sz w:val="20"/>
                <w:szCs w:val="20"/>
                <w:color w:val="auto"/>
              </w:rPr>
            </w:pPr>
            <w:r>
              <w:rPr>
                <w:rFonts w:ascii="Times New Roman" w:cs="Times New Roman" w:eastAsia="Times New Roman" w:hAnsi="Times New Roman"/>
                <w:sz w:val="14"/>
                <w:szCs w:val="14"/>
                <w:color w:val="auto"/>
              </w:rPr>
              <w:t>5.69%</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FF0FC"/>
          </w:tcPr>
          <w:p>
            <w:pPr>
              <w:jc w:val="right"/>
              <w:spacing w:after="0" w:line="148" w:lineRule="exact"/>
              <w:rPr>
                <w:sz w:val="20"/>
                <w:szCs w:val="20"/>
                <w:color w:val="auto"/>
              </w:rPr>
            </w:pPr>
            <w:r>
              <w:rPr>
                <w:rFonts w:ascii="Times New Roman" w:cs="Times New Roman" w:eastAsia="Times New Roman" w:hAnsi="Times New Roman"/>
                <w:sz w:val="14"/>
                <w:szCs w:val="14"/>
                <w:color w:val="auto"/>
              </w:rPr>
              <w:t>2,209,335</w:t>
            </w:r>
          </w:p>
        </w:tc>
        <w:tc>
          <w:tcPr>
            <w:tcW w:w="160" w:type="dxa"/>
            <w:vAlign w:val="bottom"/>
            <w:shd w:val="clear" w:color="auto" w:fill="CFF0FC"/>
          </w:tcPr>
          <w:p>
            <w:pPr>
              <w:spacing w:after="0"/>
              <w:rPr>
                <w:sz w:val="12"/>
                <w:szCs w:val="12"/>
                <w:color w:val="auto"/>
              </w:rPr>
            </w:pPr>
          </w:p>
        </w:tc>
        <w:tc>
          <w:tcPr>
            <w:tcW w:w="64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jc w:val="center"/>
              <w:spacing w:after="0" w:line="148"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shd w:val="clear" w:color="auto" w:fill="CFF0FC"/>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w:t>
            </w:r>
          </w:p>
        </w:tc>
      </w:tr>
      <w:tr>
        <w:trPr>
          <w:trHeight w:val="187"/>
        </w:trPr>
        <w:tc>
          <w:tcPr>
            <w:tcW w:w="47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plus applicable margin</w:t>
            </w:r>
          </w:p>
        </w:tc>
        <w:tc>
          <w:tcPr>
            <w:tcW w:w="5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220" w:type="dxa"/>
            <w:vAlign w:val="bottom"/>
            <w:tcBorders>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57"/>
        </w:trPr>
        <w:tc>
          <w:tcPr>
            <w:tcW w:w="4700" w:type="dxa"/>
            <w:vAlign w:val="bottom"/>
          </w:tcPr>
          <w:p>
            <w:pPr>
              <w:spacing w:after="0" w:line="157" w:lineRule="exact"/>
              <w:rPr>
                <w:sz w:val="20"/>
                <w:szCs w:val="20"/>
                <w:color w:val="auto"/>
              </w:rPr>
            </w:pPr>
            <w:r>
              <w:rPr>
                <w:rFonts w:ascii="Times New Roman" w:cs="Times New Roman" w:eastAsia="Times New Roman" w:hAnsi="Times New Roman"/>
                <w:sz w:val="14"/>
                <w:szCs w:val="14"/>
                <w:color w:val="auto"/>
              </w:rPr>
              <w:t>First Lien Incremental Term Loan Tranche B-5 - payable to lenders at SOFR</w:t>
            </w: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62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3"/>
          </w:tcPr>
          <w:p>
            <w:pPr>
              <w:jc w:val="right"/>
              <w:ind w:right="100"/>
              <w:spacing w:after="0" w:line="157" w:lineRule="exact"/>
              <w:rPr>
                <w:sz w:val="20"/>
                <w:szCs w:val="20"/>
                <w:color w:val="auto"/>
              </w:rPr>
            </w:pPr>
            <w:r>
              <w:rPr>
                <w:rFonts w:ascii="Times New Roman" w:cs="Times New Roman" w:eastAsia="Times New Roman" w:hAnsi="Times New Roman"/>
                <w:sz w:val="14"/>
                <w:szCs w:val="14"/>
                <w:color w:val="auto"/>
              </w:rPr>
              <w:t>6.22%</w:t>
            </w:r>
          </w:p>
        </w:tc>
        <w:tc>
          <w:tcPr>
            <w:tcW w:w="100" w:type="dxa"/>
            <w:vAlign w:val="bottom"/>
          </w:tcPr>
          <w:p>
            <w:pPr>
              <w:spacing w:after="0"/>
              <w:rPr>
                <w:sz w:val="13"/>
                <w:szCs w:val="13"/>
                <w:color w:val="auto"/>
              </w:rPr>
            </w:pPr>
          </w:p>
        </w:tc>
        <w:tc>
          <w:tcPr>
            <w:tcW w:w="60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w w:val="99"/>
              </w:rPr>
              <w:t>2,521,255</w:t>
            </w:r>
          </w:p>
        </w:tc>
        <w:tc>
          <w:tcPr>
            <w:tcW w:w="80" w:type="dxa"/>
            <w:vAlign w:val="bottom"/>
          </w:tcPr>
          <w:p>
            <w:pPr>
              <w:spacing w:after="0"/>
              <w:rPr>
                <w:sz w:val="13"/>
                <w:szCs w:val="13"/>
                <w:color w:val="auto"/>
              </w:rPr>
            </w:pPr>
          </w:p>
        </w:tc>
      </w:tr>
      <w:tr>
        <w:trPr>
          <w:trHeight w:val="186"/>
        </w:trPr>
        <w:tc>
          <w:tcPr>
            <w:tcW w:w="47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plus applicable margin</w:t>
            </w: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73"/>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Revolving Credit Loans - payable to lenders at SOFR plus applicable margin</w:t>
            </w: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5.69%</w:t>
            </w: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right w:val="single" w:sz="8" w:color="CFF0FC"/>
            </w:tcBorders>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6.47%</w:t>
            </w:r>
          </w:p>
        </w:tc>
        <w:tc>
          <w:tcPr>
            <w:tcW w:w="10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72"/>
        </w:trPr>
        <w:tc>
          <w:tcPr>
            <w:tcW w:w="4700" w:type="dxa"/>
            <w:vAlign w:val="bottom"/>
          </w:tcPr>
          <w:p>
            <w:pPr>
              <w:spacing w:after="0"/>
              <w:rPr>
                <w:sz w:val="20"/>
                <w:szCs w:val="20"/>
                <w:color w:val="auto"/>
              </w:rPr>
            </w:pPr>
            <w:r>
              <w:rPr>
                <w:rFonts w:ascii="Times New Roman" w:cs="Times New Roman" w:eastAsia="Times New Roman" w:hAnsi="Times New Roman"/>
                <w:sz w:val="14"/>
                <w:szCs w:val="14"/>
                <w:color w:val="auto"/>
              </w:rPr>
              <w:t>Swingline/Base Rate - payable to lenders at ABR plus applicable margin</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8.00%</w:t>
            </w: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8.50%</w:t>
            </w:r>
          </w:p>
        </w:tc>
        <w:tc>
          <w:tcPr>
            <w:tcW w:w="10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72"/>
        </w:trPr>
        <w:tc>
          <w:tcPr>
            <w:tcW w:w="4700" w:type="dxa"/>
            <w:vAlign w:val="bottom"/>
            <w:shd w:val="clear" w:color="auto" w:fill="CFF0FC"/>
          </w:tcPr>
          <w:p>
            <w:pPr>
              <w:spacing w:after="0" w:line="172" w:lineRule="exact"/>
              <w:rPr>
                <w:sz w:val="20"/>
                <w:szCs w:val="20"/>
                <w:color w:val="auto"/>
              </w:rPr>
            </w:pPr>
            <w:r>
              <w:rPr>
                <w:rFonts w:ascii="Times New Roman" w:cs="Times New Roman" w:eastAsia="Times New Roman" w:hAnsi="Times New Roman"/>
                <w:sz w:val="14"/>
                <w:szCs w:val="14"/>
                <w:color w:val="auto"/>
              </w:rPr>
              <w:t xml:space="preserve">Amortizing Notes </w:t>
            </w:r>
            <w:r>
              <w:rPr>
                <w:rFonts w:ascii="Times New Roman" w:cs="Times New Roman" w:eastAsia="Times New Roman" w:hAnsi="Times New Roman"/>
                <w:sz w:val="19"/>
                <w:szCs w:val="19"/>
                <w:color w:val="auto"/>
                <w:vertAlign w:val="superscript"/>
              </w:rPr>
              <w:t>(1)</w:t>
            </w:r>
          </w:p>
        </w:tc>
        <w:tc>
          <w:tcPr>
            <w:tcW w:w="5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13,010</w:t>
            </w:r>
          </w:p>
        </w:tc>
        <w:tc>
          <w:tcPr>
            <w:tcW w:w="16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22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31,360</w:t>
            </w:r>
          </w:p>
        </w:tc>
        <w:tc>
          <w:tcPr>
            <w:tcW w:w="80" w:type="dxa"/>
            <w:vAlign w:val="bottom"/>
            <w:shd w:val="clear" w:color="auto" w:fill="CFF0FC"/>
          </w:tcPr>
          <w:p>
            <w:pPr>
              <w:spacing w:after="0"/>
              <w:rPr>
                <w:sz w:val="14"/>
                <w:szCs w:val="14"/>
                <w:color w:val="auto"/>
              </w:rPr>
            </w:pPr>
          </w:p>
        </w:tc>
      </w:tr>
      <w:tr>
        <w:trPr>
          <w:trHeight w:val="172"/>
        </w:trPr>
        <w:tc>
          <w:tcPr>
            <w:tcW w:w="4700" w:type="dxa"/>
            <w:vAlign w:val="bottom"/>
          </w:tcPr>
          <w:p>
            <w:pPr>
              <w:spacing w:after="0"/>
              <w:rPr>
                <w:sz w:val="20"/>
                <w:szCs w:val="20"/>
                <w:color w:val="auto"/>
              </w:rPr>
            </w:pPr>
            <w:r>
              <w:rPr>
                <w:rFonts w:ascii="Times New Roman" w:cs="Times New Roman" w:eastAsia="Times New Roman" w:hAnsi="Times New Roman"/>
                <w:sz w:val="14"/>
                <w:szCs w:val="14"/>
                <w:color w:val="auto"/>
              </w:rPr>
              <w:t>Notes payable and other</w:t>
            </w: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15,299</w:t>
            </w: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17,129</w:t>
            </w:r>
          </w:p>
        </w:tc>
        <w:tc>
          <w:tcPr>
            <w:tcW w:w="80" w:type="dxa"/>
            <w:vAlign w:val="bottom"/>
          </w:tcPr>
          <w:p>
            <w:pPr>
              <w:spacing w:after="0"/>
              <w:rPr>
                <w:sz w:val="14"/>
                <w:szCs w:val="14"/>
                <w:color w:val="auto"/>
              </w:rPr>
            </w:pPr>
          </w:p>
        </w:tc>
      </w:tr>
      <w:tr>
        <w:trPr>
          <w:trHeight w:val="163"/>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 debt</w:t>
            </w:r>
          </w:p>
        </w:tc>
        <w:tc>
          <w:tcPr>
            <w:tcW w:w="5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2,237,644</w:t>
            </w:r>
          </w:p>
        </w:tc>
        <w:tc>
          <w:tcPr>
            <w:tcW w:w="16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22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99"/>
              </w:rPr>
              <w:t>2,569,744</w:t>
            </w:r>
          </w:p>
        </w:tc>
        <w:tc>
          <w:tcPr>
            <w:tcW w:w="80" w:type="dxa"/>
            <w:vAlign w:val="bottom"/>
            <w:shd w:val="clear" w:color="auto" w:fill="CFF0FC"/>
          </w:tcPr>
          <w:p>
            <w:pPr>
              <w:spacing w:after="0"/>
              <w:rPr>
                <w:sz w:val="14"/>
                <w:szCs w:val="14"/>
                <w:color w:val="auto"/>
              </w:rPr>
            </w:pPr>
          </w:p>
        </w:tc>
      </w:tr>
      <w:tr>
        <w:trPr>
          <w:trHeight w:val="172"/>
        </w:trPr>
        <w:tc>
          <w:tcPr>
            <w:tcW w:w="4700" w:type="dxa"/>
            <w:vAlign w:val="bottom"/>
          </w:tcPr>
          <w:p>
            <w:pPr>
              <w:spacing w:after="0"/>
              <w:rPr>
                <w:sz w:val="20"/>
                <w:szCs w:val="20"/>
                <w:color w:val="auto"/>
              </w:rPr>
            </w:pPr>
            <w:r>
              <w:rPr>
                <w:rFonts w:ascii="Times New Roman" w:cs="Times New Roman" w:eastAsia="Times New Roman" w:hAnsi="Times New Roman"/>
                <w:sz w:val="14"/>
                <w:szCs w:val="14"/>
                <w:color w:val="auto"/>
              </w:rPr>
              <w:t>Less: debt issuance costs, net</w:t>
            </w: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55,588</w:t>
            </w: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62,200</w:t>
            </w:r>
          </w:p>
        </w:tc>
        <w:tc>
          <w:tcPr>
            <w:tcW w:w="80" w:type="dxa"/>
            <w:vAlign w:val="bottom"/>
          </w:tcPr>
          <w:p>
            <w:pPr>
              <w:spacing w:after="0"/>
              <w:rPr>
                <w:sz w:val="14"/>
                <w:szCs w:val="14"/>
                <w:color w:val="auto"/>
              </w:rPr>
            </w:pPr>
          </w:p>
        </w:tc>
      </w:tr>
      <w:tr>
        <w:trPr>
          <w:trHeight w:val="163"/>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 debt, net of debt issuance costs</w:t>
            </w:r>
          </w:p>
        </w:tc>
        <w:tc>
          <w:tcPr>
            <w:tcW w:w="5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2,182,056</w:t>
            </w:r>
          </w:p>
        </w:tc>
        <w:tc>
          <w:tcPr>
            <w:tcW w:w="16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22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99"/>
              </w:rPr>
              <w:t>2,507,544</w:t>
            </w:r>
          </w:p>
        </w:tc>
        <w:tc>
          <w:tcPr>
            <w:tcW w:w="80" w:type="dxa"/>
            <w:vAlign w:val="bottom"/>
            <w:shd w:val="clear" w:color="auto" w:fill="CFF0FC"/>
          </w:tcPr>
          <w:p>
            <w:pPr>
              <w:spacing w:after="0"/>
              <w:rPr>
                <w:sz w:val="14"/>
                <w:szCs w:val="14"/>
                <w:color w:val="auto"/>
              </w:rPr>
            </w:pPr>
          </w:p>
        </w:tc>
      </w:tr>
      <w:tr>
        <w:trPr>
          <w:trHeight w:val="172"/>
        </w:trPr>
        <w:tc>
          <w:tcPr>
            <w:tcW w:w="4700" w:type="dxa"/>
            <w:vAlign w:val="bottom"/>
          </w:tcPr>
          <w:p>
            <w:pPr>
              <w:spacing w:after="0"/>
              <w:rPr>
                <w:sz w:val="20"/>
                <w:szCs w:val="20"/>
                <w:color w:val="auto"/>
              </w:rPr>
            </w:pPr>
            <w:r>
              <w:rPr>
                <w:rFonts w:ascii="Times New Roman" w:cs="Times New Roman" w:eastAsia="Times New Roman" w:hAnsi="Times New Roman"/>
                <w:sz w:val="14"/>
                <w:szCs w:val="14"/>
                <w:color w:val="auto"/>
              </w:rPr>
              <w:t>Less: current portion of long-term debt</w:t>
            </w: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35,277</w:t>
            </w: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52,340</w:t>
            </w:r>
          </w:p>
        </w:tc>
        <w:tc>
          <w:tcPr>
            <w:tcW w:w="80" w:type="dxa"/>
            <w:vAlign w:val="bottom"/>
          </w:tcPr>
          <w:p>
            <w:pPr>
              <w:spacing w:after="0"/>
              <w:rPr>
                <w:sz w:val="14"/>
                <w:szCs w:val="14"/>
                <w:color w:val="auto"/>
              </w:rPr>
            </w:pPr>
          </w:p>
        </w:tc>
      </w:tr>
      <w:tr>
        <w:trPr>
          <w:trHeight w:val="183"/>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 long-term debt, net of current portion</w:t>
            </w:r>
          </w:p>
        </w:tc>
        <w:tc>
          <w:tcPr>
            <w:tcW w:w="5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2,146,779</w:t>
            </w:r>
          </w:p>
        </w:tc>
        <w:tc>
          <w:tcPr>
            <w:tcW w:w="16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22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99"/>
              </w:rPr>
              <w:t>2,455,204</w:t>
            </w:r>
          </w:p>
        </w:tc>
        <w:tc>
          <w:tcPr>
            <w:tcW w:w="80" w:type="dxa"/>
            <w:vAlign w:val="bottom"/>
            <w:shd w:val="clear" w:color="auto" w:fill="CFF0FC"/>
          </w:tcPr>
          <w:p>
            <w:pPr>
              <w:spacing w:after="0"/>
              <w:rPr>
                <w:sz w:val="15"/>
                <w:szCs w:val="15"/>
                <w:color w:val="auto"/>
              </w:rPr>
            </w:pPr>
          </w:p>
        </w:tc>
      </w:tr>
      <w:tr>
        <w:trPr>
          <w:trHeight w:val="20"/>
        </w:trPr>
        <w:tc>
          <w:tcPr>
            <w:tcW w:w="470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4319270</wp:posOffset>
            </wp:positionH>
            <wp:positionV relativeFrom="paragraph">
              <wp:posOffset>-19685</wp:posOffset>
            </wp:positionV>
            <wp:extent cx="47625" cy="698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4319270</wp:posOffset>
            </wp:positionH>
            <wp:positionV relativeFrom="paragraph">
              <wp:posOffset>-6350</wp:posOffset>
            </wp:positionV>
            <wp:extent cx="47625" cy="698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-19685</wp:posOffset>
            </wp:positionV>
            <wp:extent cx="47625" cy="698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-6350</wp:posOffset>
            </wp:positionV>
            <wp:extent cx="47625" cy="698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137" w:lineRule="exact"/>
        <w:rPr>
          <w:sz w:val="20"/>
          <w:szCs w:val="20"/>
          <w:color w:val="auto"/>
        </w:rPr>
      </w:pPr>
    </w:p>
    <w:p>
      <w:pPr>
        <w:ind w:left="640"/>
        <w:spacing w:after="0"/>
        <w:tabs>
          <w:tab w:leader="none" w:pos="960" w:val="left"/>
        </w:tabs>
        <w:rPr>
          <w:sz w:val="20"/>
          <w:szCs w:val="20"/>
          <w:color w:val="auto"/>
        </w:rPr>
      </w:pPr>
      <w:r>
        <w:rPr>
          <w:rFonts w:ascii="Times New Roman" w:cs="Times New Roman" w:eastAsia="Times New Roman" w:hAnsi="Times New Roman"/>
          <w:sz w:val="14"/>
          <w:szCs w:val="14"/>
          <w:color w:val="auto"/>
        </w:rPr>
        <w:t>(1)</w:t>
        <w:tab/>
        <w:t>See Note 7 for discussion of Amortizing Notes.</w:t>
      </w:r>
    </w:p>
    <w:p>
      <w:pPr>
        <w:spacing w:after="0" w:line="183" w:lineRule="exact"/>
        <w:rPr>
          <w:sz w:val="20"/>
          <w:szCs w:val="20"/>
          <w:color w:val="auto"/>
        </w:rPr>
      </w:pPr>
    </w:p>
    <w:p>
      <w:pPr>
        <w:ind w:left="640" w:right="819"/>
        <w:spacing w:after="0" w:line="274" w:lineRule="auto"/>
        <w:rPr>
          <w:sz w:val="20"/>
          <w:szCs w:val="20"/>
          <w:color w:val="auto"/>
        </w:rPr>
      </w:pPr>
      <w:r>
        <w:rPr>
          <w:rFonts w:ascii="Times New Roman" w:cs="Times New Roman" w:eastAsia="Times New Roman" w:hAnsi="Times New Roman"/>
          <w:sz w:val="14"/>
          <w:szCs w:val="14"/>
          <w:color w:val="auto"/>
        </w:rPr>
        <w:t>We are required to disclose the fair value of financial instruments for which it is practicable to estimate the fair value, even though these instruments are not recognized at fair value in the consolidated balance sheets. The following table presents the carrying value and estimated fair values of the Company’s debt obligations as of September 30, 2026 (in millions):</w:t>
      </w:r>
    </w:p>
    <w:p>
      <w:pPr>
        <w:spacing w:after="0" w:line="174" w:lineRule="exact"/>
        <w:rPr>
          <w:sz w:val="20"/>
          <w:szCs w:val="20"/>
          <w:color w:val="auto"/>
        </w:rPr>
      </w:pPr>
    </w:p>
    <w:tbl>
      <w:tblPr>
        <w:tblLayout w:type="fixed"/>
        <w:tblInd w:w="64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120" w:type="dxa"/>
            <w:vAlign w:val="bottom"/>
            <w:gridSpan w:val="3"/>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Carrying Value as of</w:t>
            </w:r>
          </w:p>
        </w:tc>
        <w:tc>
          <w:tcPr>
            <w:tcW w:w="1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900" w:type="dxa"/>
            <w:vAlign w:val="bottom"/>
            <w:tcBorders>
              <w:bottom w:val="single" w:sz="8" w:color="auto"/>
            </w:tcBorders>
            <w:gridSpan w:val="4"/>
          </w:tcPr>
          <w:p>
            <w:pPr>
              <w:jc w:val="right"/>
              <w:ind w:right="88"/>
              <w:spacing w:after="0"/>
              <w:rPr>
                <w:sz w:val="20"/>
                <w:szCs w:val="20"/>
                <w:color w:val="auto"/>
              </w:rPr>
            </w:pPr>
            <w:r>
              <w:rPr>
                <w:rFonts w:ascii="Times New Roman" w:cs="Times New Roman" w:eastAsia="Times New Roman" w:hAnsi="Times New Roman"/>
                <w:sz w:val="11"/>
                <w:szCs w:val="11"/>
                <w:b w:val="1"/>
                <w:bCs w:val="1"/>
                <w:color w:val="auto"/>
              </w:rPr>
              <w:t>Fair Value at Reporting Date Using</w:t>
            </w:r>
          </w:p>
        </w:tc>
        <w:tc>
          <w:tcPr>
            <w:tcW w:w="11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0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Financial Instrument</w:t>
            </w:r>
          </w:p>
        </w:tc>
        <w:tc>
          <w:tcPr>
            <w:tcW w:w="112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1140" w:type="dxa"/>
            <w:vAlign w:val="bottom"/>
            <w:gridSpan w:val="2"/>
          </w:tcPr>
          <w:p>
            <w:pPr>
              <w:jc w:val="center"/>
              <w:spacing w:after="0" w:line="90" w:lineRule="exact"/>
              <w:rPr>
                <w:sz w:val="20"/>
                <w:szCs w:val="20"/>
                <w:color w:val="auto"/>
              </w:rPr>
            </w:pPr>
            <w:r>
              <w:rPr>
                <w:rFonts w:ascii="Times New Roman" w:cs="Times New Roman" w:eastAsia="Times New Roman" w:hAnsi="Times New Roman"/>
                <w:sz w:val="10"/>
                <w:szCs w:val="10"/>
                <w:b w:val="1"/>
                <w:bCs w:val="1"/>
                <w:color w:val="auto"/>
              </w:rPr>
              <w:t>Markets for Identical</w:t>
            </w:r>
          </w:p>
        </w:tc>
        <w:tc>
          <w:tcPr>
            <w:tcW w:w="160" w:type="dxa"/>
            <w:vAlign w:val="bottom"/>
          </w:tcPr>
          <w:p>
            <w:pPr>
              <w:spacing w:after="0"/>
              <w:rPr>
                <w:sz w:val="7"/>
                <w:szCs w:val="7"/>
                <w:color w:val="auto"/>
              </w:rPr>
            </w:pPr>
          </w:p>
        </w:tc>
        <w:tc>
          <w:tcPr>
            <w:tcW w:w="1580" w:type="dxa"/>
            <w:vAlign w:val="bottom"/>
            <w:gridSpan w:val="2"/>
          </w:tcPr>
          <w:p>
            <w:pPr>
              <w:jc w:val="right"/>
              <w:ind w:right="35"/>
              <w:spacing w:after="0" w:line="90" w:lineRule="exact"/>
              <w:rPr>
                <w:sz w:val="20"/>
                <w:szCs w:val="20"/>
                <w:color w:val="auto"/>
              </w:rPr>
            </w:pPr>
            <w:r>
              <w:rPr>
                <w:rFonts w:ascii="Times New Roman" w:cs="Times New Roman" w:eastAsia="Times New Roman" w:hAnsi="Times New Roman"/>
                <w:sz w:val="10"/>
                <w:szCs w:val="10"/>
                <w:b w:val="1"/>
                <w:bCs w:val="1"/>
                <w:color w:val="auto"/>
              </w:rPr>
              <w:t>Significant Other Observable</w:t>
            </w:r>
          </w:p>
        </w:tc>
        <w:tc>
          <w:tcPr>
            <w:tcW w:w="160" w:type="dxa"/>
            <w:vAlign w:val="bottom"/>
          </w:tcPr>
          <w:p>
            <w:pPr>
              <w:spacing w:after="0"/>
              <w:rPr>
                <w:sz w:val="7"/>
                <w:szCs w:val="7"/>
                <w:color w:val="auto"/>
              </w:rPr>
            </w:pPr>
          </w:p>
        </w:tc>
        <w:tc>
          <w:tcPr>
            <w:tcW w:w="1340" w:type="dxa"/>
            <w:vAlign w:val="bottom"/>
            <w:gridSpan w:val="2"/>
          </w:tcPr>
          <w:p>
            <w:pPr>
              <w:jc w:val="center"/>
              <w:spacing w:after="0" w:line="90" w:lineRule="exact"/>
              <w:rPr>
                <w:sz w:val="20"/>
                <w:szCs w:val="20"/>
                <w:color w:val="auto"/>
              </w:rPr>
            </w:pPr>
            <w:r>
              <w:rPr>
                <w:rFonts w:ascii="Times New Roman" w:cs="Times New Roman" w:eastAsia="Times New Roman" w:hAnsi="Times New Roman"/>
                <w:sz w:val="10"/>
                <w:szCs w:val="10"/>
                <w:b w:val="1"/>
                <w:bCs w:val="1"/>
                <w:color w:val="auto"/>
              </w:rPr>
              <w:t>Significant Unobservable</w:t>
            </w: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7"/>
        </w:trPr>
        <w:tc>
          <w:tcPr>
            <w:tcW w:w="20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September 30, 2026</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jc w:val="center"/>
              <w:ind w:right="95"/>
              <w:spacing w:after="0"/>
              <w:rPr>
                <w:sz w:val="20"/>
                <w:szCs w:val="20"/>
                <w:color w:val="auto"/>
              </w:rPr>
            </w:pPr>
            <w:r>
              <w:rPr>
                <w:rFonts w:ascii="Times New Roman" w:cs="Times New Roman" w:eastAsia="Times New Roman" w:hAnsi="Times New Roman"/>
                <w:sz w:val="11"/>
                <w:szCs w:val="11"/>
                <w:b w:val="1"/>
                <w:bCs w:val="1"/>
                <w:color w:val="auto"/>
              </w:rPr>
              <w:t>Item (Level 1)</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tcPr>
          <w:p>
            <w:pPr>
              <w:jc w:val="right"/>
              <w:ind w:right="355"/>
              <w:spacing w:after="0"/>
              <w:rPr>
                <w:sz w:val="20"/>
                <w:szCs w:val="20"/>
                <w:color w:val="auto"/>
              </w:rPr>
            </w:pPr>
            <w:r>
              <w:rPr>
                <w:rFonts w:ascii="Times New Roman" w:cs="Times New Roman" w:eastAsia="Times New Roman" w:hAnsi="Times New Roman"/>
                <w:sz w:val="11"/>
                <w:szCs w:val="11"/>
                <w:b w:val="1"/>
                <w:bCs w:val="1"/>
                <w:color w:val="auto"/>
              </w:rPr>
              <w:t>Inputs (Level 2)</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Inputs (Level 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0" w:type="dxa"/>
            <w:vAlign w:val="bottom"/>
            <w:vMerge w:val="continue"/>
          </w:tcPr>
          <w:p>
            <w:pPr>
              <w:spacing w:after="0"/>
              <w:rPr>
                <w:sz w:val="13"/>
                <w:szCs w:val="13"/>
                <w:color w:val="auto"/>
              </w:rPr>
            </w:pPr>
          </w:p>
        </w:tc>
        <w:tc>
          <w:tcPr>
            <w:tcW w:w="1980" w:type="dxa"/>
            <w:vAlign w:val="bottom"/>
            <w:shd w:val="clear" w:color="auto" w:fill="CFF0FC"/>
          </w:tcPr>
          <w:p>
            <w:pPr>
              <w:spacing w:after="0" w:line="152" w:lineRule="exact"/>
              <w:rPr>
                <w:sz w:val="20"/>
                <w:szCs w:val="20"/>
                <w:color w:val="auto"/>
              </w:rPr>
            </w:pPr>
            <w:r>
              <w:rPr>
                <w:rFonts w:ascii="Times New Roman" w:cs="Times New Roman" w:eastAsia="Times New Roman" w:hAnsi="Times New Roman"/>
                <w:sz w:val="14"/>
                <w:szCs w:val="14"/>
                <w:color w:val="auto"/>
              </w:rPr>
              <w:t>First Lien Term Loan</w:t>
            </w:r>
          </w:p>
        </w:tc>
        <w:tc>
          <w:tcPr>
            <w:tcW w:w="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line="15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spacing w:after="0" w:line="152" w:lineRule="exact"/>
              <w:rPr>
                <w:sz w:val="20"/>
                <w:szCs w:val="20"/>
                <w:color w:val="auto"/>
              </w:rPr>
            </w:pPr>
            <w:r>
              <w:rPr>
                <w:rFonts w:ascii="Times New Roman" w:cs="Times New Roman" w:eastAsia="Times New Roman" w:hAnsi="Times New Roman"/>
                <w:sz w:val="14"/>
                <w:szCs w:val="14"/>
                <w:color w:val="auto"/>
              </w:rPr>
              <w:t>2,209,335</w:t>
            </w:r>
          </w:p>
        </w:tc>
        <w:tc>
          <w:tcPr>
            <w:tcW w:w="160" w:type="dxa"/>
            <w:vAlign w:val="bottom"/>
            <w:shd w:val="clear" w:color="auto" w:fill="CFF0FC"/>
          </w:tcPr>
          <w:p>
            <w:pPr>
              <w:spacing w:after="0"/>
              <w:rPr>
                <w:sz w:val="13"/>
                <w:szCs w:val="13"/>
                <w:color w:val="auto"/>
              </w:rPr>
            </w:pPr>
          </w:p>
        </w:tc>
        <w:tc>
          <w:tcPr>
            <w:tcW w:w="140" w:type="dxa"/>
            <w:vAlign w:val="bottom"/>
            <w:shd w:val="clear" w:color="auto" w:fill="CFF0FC"/>
          </w:tcPr>
          <w:p>
            <w:pPr>
              <w:jc w:val="right"/>
              <w:spacing w:after="0" w:line="152"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FF0FC"/>
          </w:tcPr>
          <w:p>
            <w:pPr>
              <w:ind w:left="840"/>
              <w:spacing w:after="0" w:line="152" w:lineRule="exact"/>
              <w:rPr>
                <w:sz w:val="20"/>
                <w:szCs w:val="20"/>
                <w:color w:val="auto"/>
              </w:rPr>
            </w:pPr>
            <w:r>
              <w:rPr>
                <w:rFonts w:ascii="Times New Roman" w:cs="Times New Roman" w:eastAsia="Times New Roman" w:hAnsi="Times New Roman"/>
                <w:sz w:val="14"/>
                <w:szCs w:val="14"/>
                <w:color w:val="auto"/>
                <w:w w:val="99"/>
              </w:rPr>
              <w:t>—</w:t>
            </w:r>
          </w:p>
        </w:tc>
        <w:tc>
          <w:tcPr>
            <w:tcW w:w="380" w:type="dxa"/>
            <w:vAlign w:val="bottom"/>
            <w:gridSpan w:val="2"/>
            <w:shd w:val="clear" w:color="auto" w:fill="CFF0FC"/>
          </w:tcPr>
          <w:p>
            <w:pPr>
              <w:jc w:val="right"/>
              <w:ind w:right="106"/>
              <w:spacing w:after="0" w:line="152" w:lineRule="exact"/>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FF0FC"/>
          </w:tcPr>
          <w:p>
            <w:pPr>
              <w:jc w:val="right"/>
              <w:spacing w:after="0" w:line="152" w:lineRule="exact"/>
              <w:rPr>
                <w:sz w:val="20"/>
                <w:szCs w:val="20"/>
                <w:color w:val="auto"/>
              </w:rPr>
            </w:pPr>
            <w:r>
              <w:rPr>
                <w:rFonts w:ascii="Times New Roman" w:cs="Times New Roman" w:eastAsia="Times New Roman" w:hAnsi="Times New Roman"/>
                <w:sz w:val="14"/>
                <w:szCs w:val="14"/>
                <w:color w:val="auto"/>
              </w:rPr>
              <w:t>2,212,097</w:t>
            </w:r>
          </w:p>
        </w:tc>
        <w:tc>
          <w:tcPr>
            <w:tcW w:w="320" w:type="dxa"/>
            <w:vAlign w:val="bottom"/>
            <w:gridSpan w:val="2"/>
            <w:shd w:val="clear" w:color="auto" w:fill="CFF0FC"/>
          </w:tcPr>
          <w:p>
            <w:pPr>
              <w:jc w:val="right"/>
              <w:ind w:right="48"/>
              <w:spacing w:after="0" w:line="152"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shd w:val="clear" w:color="auto" w:fill="CFF0FC"/>
          </w:tcPr>
          <w:p>
            <w:pPr>
              <w:ind w:left="1020"/>
              <w:spacing w:after="0" w:line="15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980" w:type="dxa"/>
            <w:vAlign w:val="bottom"/>
          </w:tcPr>
          <w:p>
            <w:pPr>
              <w:spacing w:after="0"/>
              <w:rPr>
                <w:sz w:val="20"/>
                <w:szCs w:val="20"/>
                <w:color w:val="auto"/>
              </w:rPr>
            </w:pPr>
            <w:r>
              <w:rPr>
                <w:rFonts w:ascii="Times New Roman" w:cs="Times New Roman" w:eastAsia="Times New Roman" w:hAnsi="Times New Roman"/>
                <w:sz w:val="14"/>
                <w:szCs w:val="14"/>
                <w:color w:val="auto"/>
              </w:rPr>
              <w:t>Amortizing Notes</w:t>
            </w:r>
          </w:p>
        </w:tc>
        <w:tc>
          <w:tcPr>
            <w:tcW w:w="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13,010</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13,027</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980" w:type="dxa"/>
            <w:vAlign w:val="bottom"/>
            <w:shd w:val="clear" w:color="auto" w:fill="CFF0FC"/>
          </w:tcPr>
          <w:p>
            <w:pPr>
              <w:ind w:left="200"/>
              <w:spacing w:after="0" w:line="152" w:lineRule="exact"/>
              <w:rPr>
                <w:sz w:val="20"/>
                <w:szCs w:val="20"/>
                <w:color w:val="auto"/>
              </w:rPr>
            </w:pPr>
            <w:r>
              <w:rPr>
                <w:rFonts w:ascii="Times New Roman" w:cs="Times New Roman" w:eastAsia="Times New Roman" w:hAnsi="Times New Roman"/>
                <w:sz w:val="14"/>
                <w:szCs w:val="14"/>
                <w:color w:val="auto"/>
              </w:rPr>
              <w:t>Total debt instruments</w:t>
            </w:r>
          </w:p>
        </w:tc>
        <w:tc>
          <w:tcPr>
            <w:tcW w:w="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line="15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spacing w:after="0" w:line="152" w:lineRule="exact"/>
              <w:rPr>
                <w:sz w:val="20"/>
                <w:szCs w:val="20"/>
                <w:color w:val="auto"/>
              </w:rPr>
            </w:pPr>
            <w:r>
              <w:rPr>
                <w:rFonts w:ascii="Times New Roman" w:cs="Times New Roman" w:eastAsia="Times New Roman" w:hAnsi="Times New Roman"/>
                <w:sz w:val="14"/>
                <w:szCs w:val="14"/>
                <w:color w:val="auto"/>
              </w:rPr>
              <w:t>2,222,345</w:t>
            </w: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jc w:val="right"/>
              <w:spacing w:after="0" w:line="152"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FF0FC"/>
          </w:tcPr>
          <w:p>
            <w:pPr>
              <w:ind w:left="840"/>
              <w:spacing w:after="0" w:line="152" w:lineRule="exact"/>
              <w:rPr>
                <w:sz w:val="20"/>
                <w:szCs w:val="20"/>
                <w:color w:val="auto"/>
              </w:rPr>
            </w:pPr>
            <w:r>
              <w:rPr>
                <w:rFonts w:ascii="Times New Roman" w:cs="Times New Roman" w:eastAsia="Times New Roman" w:hAnsi="Times New Roman"/>
                <w:sz w:val="14"/>
                <w:szCs w:val="14"/>
                <w:color w:val="auto"/>
                <w:w w:val="99"/>
              </w:rPr>
              <w:t>—</w:t>
            </w:r>
          </w:p>
        </w:tc>
        <w:tc>
          <w:tcPr>
            <w:tcW w:w="380" w:type="dxa"/>
            <w:vAlign w:val="bottom"/>
            <w:gridSpan w:val="2"/>
            <w:shd w:val="clear" w:color="auto" w:fill="CFF0FC"/>
          </w:tcPr>
          <w:p>
            <w:pPr>
              <w:jc w:val="right"/>
              <w:ind w:right="106"/>
              <w:spacing w:after="0" w:line="152" w:lineRule="exact"/>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FF0FC"/>
          </w:tcPr>
          <w:p>
            <w:pPr>
              <w:jc w:val="right"/>
              <w:spacing w:after="0" w:line="152" w:lineRule="exact"/>
              <w:rPr>
                <w:sz w:val="20"/>
                <w:szCs w:val="20"/>
                <w:color w:val="auto"/>
              </w:rPr>
            </w:pPr>
            <w:r>
              <w:rPr>
                <w:rFonts w:ascii="Times New Roman" w:cs="Times New Roman" w:eastAsia="Times New Roman" w:hAnsi="Times New Roman"/>
                <w:sz w:val="14"/>
                <w:szCs w:val="14"/>
                <w:color w:val="auto"/>
              </w:rPr>
              <w:t>2,225,124</w:t>
            </w:r>
          </w:p>
        </w:tc>
        <w:tc>
          <w:tcPr>
            <w:tcW w:w="320" w:type="dxa"/>
            <w:vAlign w:val="bottom"/>
            <w:gridSpan w:val="2"/>
            <w:shd w:val="clear" w:color="auto" w:fill="CFF0FC"/>
          </w:tcPr>
          <w:p>
            <w:pPr>
              <w:jc w:val="right"/>
              <w:ind w:right="48"/>
              <w:spacing w:after="0" w:line="152"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shd w:val="clear" w:color="auto" w:fill="CFF0FC"/>
          </w:tcPr>
          <w:p>
            <w:pPr>
              <w:ind w:left="1020"/>
              <w:spacing w:after="0" w:line="15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2389505</wp:posOffset>
            </wp:positionH>
            <wp:positionV relativeFrom="paragraph">
              <wp:posOffset>-19685</wp:posOffset>
            </wp:positionV>
            <wp:extent cx="47625" cy="698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2389505</wp:posOffset>
            </wp:positionH>
            <wp:positionV relativeFrom="paragraph">
              <wp:posOffset>-6350</wp:posOffset>
            </wp:positionV>
            <wp:extent cx="47625" cy="698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3208020</wp:posOffset>
            </wp:positionH>
            <wp:positionV relativeFrom="paragraph">
              <wp:posOffset>-19685</wp:posOffset>
            </wp:positionV>
            <wp:extent cx="47625" cy="698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3208020</wp:posOffset>
            </wp:positionH>
            <wp:positionV relativeFrom="paragraph">
              <wp:posOffset>-6350</wp:posOffset>
            </wp:positionV>
            <wp:extent cx="47625" cy="698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4312285</wp:posOffset>
            </wp:positionH>
            <wp:positionV relativeFrom="paragraph">
              <wp:posOffset>-19685</wp:posOffset>
            </wp:positionV>
            <wp:extent cx="47625" cy="698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4312285</wp:posOffset>
            </wp:positionH>
            <wp:positionV relativeFrom="paragraph">
              <wp:posOffset>-6350</wp:posOffset>
            </wp:positionV>
            <wp:extent cx="47625" cy="698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-19685</wp:posOffset>
            </wp:positionV>
            <wp:extent cx="47625" cy="698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-6350</wp:posOffset>
            </wp:positionV>
            <wp:extent cx="47625" cy="698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137" w:lineRule="exact"/>
        <w:rPr>
          <w:sz w:val="20"/>
          <w:szCs w:val="20"/>
          <w:color w:val="auto"/>
        </w:rPr>
      </w:pPr>
    </w:p>
    <w:p>
      <w:pPr>
        <w:ind w:left="640" w:right="879"/>
        <w:spacing w:after="0" w:line="292" w:lineRule="auto"/>
        <w:rPr>
          <w:sz w:val="20"/>
          <w:szCs w:val="20"/>
          <w:color w:val="auto"/>
        </w:rPr>
      </w:pPr>
      <w:r>
        <w:rPr>
          <w:rFonts w:ascii="Times New Roman" w:cs="Times New Roman" w:eastAsia="Times New Roman" w:hAnsi="Times New Roman"/>
          <w:sz w:val="14"/>
          <w:szCs w:val="14"/>
          <w:color w:val="auto"/>
        </w:rPr>
        <w:t>The following discussion summarizes the debt agreements and related modification for the nine months ended September 30, 2026 and the year ended December 31, 2025.</w:t>
      </w:r>
    </w:p>
    <w:p>
      <w:pPr>
        <w:spacing w:after="0" w:line="1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First Lien Credit Agreement</w:t>
      </w:r>
    </w:p>
    <w:p>
      <w:pPr>
        <w:spacing w:after="0" w:line="99" w:lineRule="exact"/>
        <w:rPr>
          <w:sz w:val="20"/>
          <w:szCs w:val="20"/>
          <w:color w:val="auto"/>
        </w:rPr>
      </w:pPr>
    </w:p>
    <w:p>
      <w:pPr>
        <w:ind w:left="640" w:right="739"/>
        <w:spacing w:after="0" w:line="292" w:lineRule="auto"/>
        <w:rPr>
          <w:sz w:val="20"/>
          <w:szCs w:val="20"/>
          <w:color w:val="auto"/>
        </w:rPr>
      </w:pPr>
      <w:r>
        <w:rPr>
          <w:rFonts w:ascii="Times New Roman" w:cs="Times New Roman" w:eastAsia="Times New Roman" w:hAnsi="Times New Roman"/>
          <w:sz w:val="14"/>
          <w:szCs w:val="14"/>
          <w:color w:val="auto"/>
        </w:rPr>
        <w:t>On March 5, 2019, the Company entered into a First Lien Credit Agreement (the “First Lien”), with Morgan Stanley Senior Funding, Inc., as the Administrative Agent and the Collateral Agent.</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70" w:right="1440" w:bottom="1440" w:gutter="0" w:footer="0" w:header="0"/>
        </w:sectPr>
      </w:pPr>
    </w:p>
    <w:bookmarkStart w:id="20" w:name="page21"/>
    <w:bookmarkEnd w:id="20"/>
    <w:p>
      <w:pPr>
        <w:ind w:left="640" w:right="759"/>
        <w:spacing w:after="0" w:line="265" w:lineRule="auto"/>
        <w:rPr>
          <w:sz w:val="20"/>
          <w:szCs w:val="20"/>
          <w:color w:val="auto"/>
        </w:rPr>
      </w:pPr>
      <w:r>
        <w:rPr>
          <w:rFonts w:ascii="Times New Roman" w:cs="Times New Roman" w:eastAsia="Times New Roman" w:hAnsi="Times New Roman"/>
          <w:sz w:val="14"/>
          <w:szCs w:val="14"/>
          <w:color w:val="auto"/>
        </w:rPr>
        <w:t>On December 11, 2024, we amended the First Lien to refinance the outstanding principal by establishing a Tranche B-5 Term Loan (“Tranche B-5”) in an aggregate principal amount of $2,553.2 million at a rate equal to Secured Overnight Financing Rate (“SOFR”) plus 2.50% or Alternate Base Rate (“ABR”) plus 1.50% with a maturity date of February 21, 2031. Principal payments were due on the last business day of each quarter, which commenced in the first fiscal quarter of 2025 and equated to 0.25% of the principal at issuance, with a balloon payment due February 21, 2031.</w:t>
      </w:r>
    </w:p>
    <w:p>
      <w:pPr>
        <w:spacing w:after="0" w:line="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On May 28, 2026, we used a portion of the net proceeds received from the divestiture of the Community Living business to repay</w:t>
      </w:r>
    </w:p>
    <w:p>
      <w:pPr>
        <w:spacing w:after="0" w:line="25" w:lineRule="exact"/>
        <w:rPr>
          <w:sz w:val="20"/>
          <w:szCs w:val="20"/>
          <w:color w:val="auto"/>
        </w:rPr>
      </w:pPr>
    </w:p>
    <w:p>
      <w:pPr>
        <w:ind w:left="640" w:right="679"/>
        <w:spacing w:after="0" w:line="259" w:lineRule="auto"/>
        <w:rPr>
          <w:sz w:val="20"/>
          <w:szCs w:val="20"/>
          <w:color w:val="auto"/>
        </w:rPr>
      </w:pPr>
      <w:r>
        <w:rPr>
          <w:rFonts w:ascii="Times New Roman" w:cs="Times New Roman" w:eastAsia="Times New Roman" w:hAnsi="Times New Roman"/>
          <w:sz w:val="14"/>
          <w:szCs w:val="14"/>
          <w:color w:val="auto"/>
        </w:rPr>
        <w:t>$300.0 million of the borrowing under Tranche B-5 and amended the First Lien to establish a new Tranche B-6 Term Loan (“Tranche B-6”) in an aggregate principal amount of $2,214.9 million. The proceeds from Tranche B-6 borrowings were used to refinance the equivalent amount of the remaining Tranche B-5, after the aforementioned debt paydown, at a rate equal to SOFR plus 2.00% or ABR plus 1.00% with a maturity date of February 21, 2031. The transaction was accounted for as a debt modification. Principal payments are due on the last business day of each quarter, which commenced in the third fiscal quarter of 2026 and equate to 0.25% of the principal at issuance, with a balloon payment due February 21, 2031.</w:t>
      </w:r>
    </w:p>
    <w:p>
      <w:pPr>
        <w:spacing w:after="0" w:line="14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Revolving Credit Facility</w:t>
      </w:r>
    </w:p>
    <w:p>
      <w:pPr>
        <w:spacing w:after="0" w:line="99" w:lineRule="exact"/>
        <w:rPr>
          <w:sz w:val="20"/>
          <w:szCs w:val="20"/>
          <w:color w:val="auto"/>
        </w:rPr>
      </w:pPr>
    </w:p>
    <w:p>
      <w:pPr>
        <w:ind w:left="640" w:right="679"/>
        <w:spacing w:after="0" w:line="261" w:lineRule="auto"/>
        <w:rPr>
          <w:sz w:val="20"/>
          <w:szCs w:val="20"/>
          <w:color w:val="auto"/>
        </w:rPr>
      </w:pPr>
      <w:r>
        <w:rPr>
          <w:rFonts w:ascii="Times New Roman" w:cs="Times New Roman" w:eastAsia="Times New Roman" w:hAnsi="Times New Roman"/>
          <w:sz w:val="14"/>
          <w:szCs w:val="14"/>
          <w:color w:val="auto"/>
        </w:rPr>
        <w:t>The First Lien also extends credit in the form of a Revolving Credit Facility with a borrowing capacity of $475.0 million (the “Revolver”), of which up to $50.0 million is available as swingline loans and up to $82.5 million is available as letters of credit (the “LC Sublimit”). The Revolver will mature on June 30, 2028. In connection with the First Lien debt modification on May 28, 2026, borrowings of the Revolver bear interest at a rate equal to SOFR (with a floor of 0.00%) plus 2.00% for the Revolving Credit Loans or ABR (with a floor of 0.00%) plus 1.00% for the Swingline Loans. Prior to the debt modification, borrowings bore interest at a rate equal to SOFR (with a floor of 0.00%) plus 2.75% for the Revolving Credit Loans and ABR (with a floor of 0.00%) plus 1.75% for the Swingline Loans. As of September 30, 2026 and December 31, 2025, the Company had $475.0 million of borrowing capacity available under the Revolver as there were no borrowings under the Revolver or letters of credit outstanding.</w:t>
      </w:r>
    </w:p>
    <w:p>
      <w:pPr>
        <w:spacing w:after="0" w:line="60" w:lineRule="exact"/>
        <w:rPr>
          <w:sz w:val="20"/>
          <w:szCs w:val="20"/>
          <w:color w:val="auto"/>
        </w:rPr>
      </w:pPr>
    </w:p>
    <w:p>
      <w:pPr>
        <w:ind w:left="640" w:right="679"/>
        <w:spacing w:after="0" w:line="265" w:lineRule="auto"/>
        <w:rPr>
          <w:sz w:val="20"/>
          <w:szCs w:val="20"/>
          <w:color w:val="auto"/>
        </w:rPr>
      </w:pPr>
      <w:r>
        <w:rPr>
          <w:rFonts w:ascii="Times New Roman" w:cs="Times New Roman" w:eastAsia="Times New Roman" w:hAnsi="Times New Roman"/>
          <w:sz w:val="14"/>
          <w:szCs w:val="14"/>
          <w:color w:val="auto"/>
        </w:rPr>
        <w:t>The Company’s First Lien also provides for an additional $65.0 million of letter of credit commitments (the “LC Facility”), which are not subject to the LC Sublimit and do not reduce the Revolver borrowing capacity. As of September 30, 2026, there were $63.9 million of letters of credit outstanding under the LC Facility, resulting in an available borrowing capacity of $1.1 million. As of December 31, 2025, there were $62.8 million of letters of credit outstanding under the LC Facility, resulting in an available borrowing capacity of $2.2 million.</w:t>
      </w:r>
    </w:p>
    <w:p>
      <w:pPr>
        <w:spacing w:after="0" w:line="14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Derivative Financial Instruments</w:t>
      </w:r>
    </w:p>
    <w:p>
      <w:pPr>
        <w:spacing w:after="0" w:line="99" w:lineRule="exact"/>
        <w:rPr>
          <w:sz w:val="20"/>
          <w:szCs w:val="20"/>
          <w:color w:val="auto"/>
        </w:rPr>
      </w:pPr>
    </w:p>
    <w:p>
      <w:pPr>
        <w:jc w:val="both"/>
        <w:ind w:left="640" w:right="939"/>
        <w:spacing w:after="0" w:line="274" w:lineRule="auto"/>
        <w:rPr>
          <w:sz w:val="20"/>
          <w:szCs w:val="20"/>
          <w:color w:val="auto"/>
        </w:rPr>
      </w:pPr>
      <w:r>
        <w:rPr>
          <w:rFonts w:ascii="Times New Roman" w:cs="Times New Roman" w:eastAsia="Times New Roman" w:hAnsi="Times New Roman"/>
          <w:sz w:val="14"/>
          <w:szCs w:val="14"/>
          <w:color w:val="auto"/>
        </w:rPr>
        <w:t>To manage fluctuations in cash flows resulting from changes in the variable interest rates, the Company has entered into receive-variable, pay-fixed interest rate swap agreements. The following table summarizes our interest rate swaps designated as cash flow hedges (in millions):</w:t>
      </w:r>
    </w:p>
    <w:p>
      <w:pPr>
        <w:spacing w:after="0" w:line="174" w:lineRule="exact"/>
        <w:rPr>
          <w:sz w:val="20"/>
          <w:szCs w:val="20"/>
          <w:color w:val="auto"/>
        </w:rPr>
      </w:pPr>
    </w:p>
    <w:tbl>
      <w:tblPr>
        <w:tblLayout w:type="fixed"/>
        <w:tblInd w:w="64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1"/>
                <w:szCs w:val="11"/>
                <w:b w:val="1"/>
                <w:bCs w:val="1"/>
                <w:color w:val="auto"/>
              </w:rPr>
              <w:t>Notional Amount as of</w:t>
            </w:r>
          </w:p>
        </w:tc>
        <w:tc>
          <w:tcPr>
            <w:tcW w:w="16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68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Financial Institution</w:t>
            </w:r>
          </w:p>
        </w:tc>
        <w:tc>
          <w:tcPr>
            <w:tcW w:w="80" w:type="dxa"/>
            <w:vAlign w:val="bottom"/>
          </w:tcPr>
          <w:p>
            <w:pPr>
              <w:spacing w:after="0"/>
              <w:rPr>
                <w:sz w:val="7"/>
                <w:szCs w:val="7"/>
                <w:color w:val="auto"/>
              </w:rPr>
            </w:pPr>
          </w:p>
        </w:tc>
        <w:tc>
          <w:tcPr>
            <w:tcW w:w="760" w:type="dxa"/>
            <w:vAlign w:val="bottom"/>
            <w:gridSpan w:val="2"/>
          </w:tcPr>
          <w:p>
            <w:pPr>
              <w:ind w:left="20"/>
              <w:spacing w:after="0" w:line="90" w:lineRule="exact"/>
              <w:rPr>
                <w:sz w:val="20"/>
                <w:szCs w:val="20"/>
                <w:color w:val="auto"/>
              </w:rPr>
            </w:pPr>
            <w:r>
              <w:rPr>
                <w:rFonts w:ascii="Times New Roman" w:cs="Times New Roman" w:eastAsia="Times New Roman" w:hAnsi="Times New Roman"/>
                <w:sz w:val="10"/>
                <w:szCs w:val="10"/>
                <w:b w:val="1"/>
                <w:bCs w:val="1"/>
                <w:color w:val="auto"/>
              </w:rPr>
              <w:t>September 30,</w:t>
            </w:r>
          </w:p>
        </w:tc>
        <w:tc>
          <w:tcPr>
            <w:tcW w:w="160" w:type="dxa"/>
            <w:vAlign w:val="bottom"/>
          </w:tcPr>
          <w:p>
            <w:pPr>
              <w:spacing w:after="0"/>
              <w:rPr>
                <w:sz w:val="7"/>
                <w:szCs w:val="7"/>
                <w:color w:val="auto"/>
              </w:rPr>
            </w:pPr>
          </w:p>
        </w:tc>
        <w:tc>
          <w:tcPr>
            <w:tcW w:w="720" w:type="dxa"/>
            <w:vAlign w:val="bottom"/>
            <w:gridSpan w:val="2"/>
          </w:tcPr>
          <w:p>
            <w:pPr>
              <w:jc w:val="right"/>
              <w:spacing w:after="0" w:line="90"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160" w:type="dxa"/>
            <w:vAlign w:val="bottom"/>
          </w:tcPr>
          <w:p>
            <w:pPr>
              <w:spacing w:after="0"/>
              <w:rPr>
                <w:sz w:val="7"/>
                <w:szCs w:val="7"/>
                <w:color w:val="auto"/>
              </w:rPr>
            </w:pPr>
          </w:p>
        </w:tc>
        <w:tc>
          <w:tcPr>
            <w:tcW w:w="2360" w:type="dxa"/>
            <w:vAlign w:val="bottom"/>
            <w:vMerge w:val="restart"/>
          </w:tcPr>
          <w:p>
            <w:pPr>
              <w:jc w:val="right"/>
              <w:ind w:right="754"/>
              <w:spacing w:after="0"/>
              <w:rPr>
                <w:sz w:val="20"/>
                <w:szCs w:val="20"/>
                <w:color w:val="auto"/>
              </w:rPr>
            </w:pPr>
            <w:r>
              <w:rPr>
                <w:rFonts w:ascii="Times New Roman" w:cs="Times New Roman" w:eastAsia="Times New Roman" w:hAnsi="Times New Roman"/>
                <w:sz w:val="11"/>
                <w:szCs w:val="11"/>
                <w:b w:val="1"/>
                <w:bCs w:val="1"/>
                <w:color w:val="auto"/>
              </w:rPr>
              <w:t>Effective Dates</w:t>
            </w:r>
          </w:p>
        </w:tc>
        <w:tc>
          <w:tcPr>
            <w:tcW w:w="100" w:type="dxa"/>
            <w:vAlign w:val="bottom"/>
          </w:tcPr>
          <w:p>
            <w:pPr>
              <w:spacing w:after="0"/>
              <w:rPr>
                <w:sz w:val="7"/>
                <w:szCs w:val="7"/>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w w:val="97"/>
              </w:rPr>
              <w:t>Fixed Rates</w:t>
            </w:r>
          </w:p>
        </w:tc>
        <w:tc>
          <w:tcPr>
            <w:tcW w:w="0" w:type="dxa"/>
            <w:vAlign w:val="bottom"/>
          </w:tcPr>
          <w:p>
            <w:pPr>
              <w:spacing w:after="0"/>
              <w:rPr>
                <w:sz w:val="1"/>
                <w:szCs w:val="1"/>
                <w:color w:val="auto"/>
              </w:rPr>
            </w:pPr>
          </w:p>
        </w:tc>
      </w:tr>
      <w:tr>
        <w:trPr>
          <w:trHeight w:val="137"/>
        </w:trPr>
        <w:tc>
          <w:tcPr>
            <w:tcW w:w="26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ind w:left="100"/>
              <w:spacing w:after="0"/>
              <w:rPr>
                <w:sz w:val="20"/>
                <w:szCs w:val="20"/>
                <w:color w:val="auto"/>
              </w:rPr>
            </w:pPr>
            <w:r>
              <w:rPr>
                <w:rFonts w:ascii="Times New Roman" w:cs="Times New Roman" w:eastAsia="Times New Roman" w:hAnsi="Times New Roman"/>
                <w:sz w:val="11"/>
                <w:szCs w:val="11"/>
                <w:b w:val="1"/>
                <w:bCs w:val="1"/>
                <w:color w:val="auto"/>
              </w:rPr>
              <w:t>2026</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ind w:right="193"/>
              <w:spacing w:after="0"/>
              <w:rPr>
                <w:sz w:val="20"/>
                <w:szCs w:val="20"/>
                <w:color w:val="auto"/>
              </w:rPr>
            </w:pPr>
            <w:r>
              <w:rPr>
                <w:rFonts w:ascii="Times New Roman" w:cs="Times New Roman" w:eastAsia="Times New Roman" w:hAnsi="Times New Roman"/>
                <w:sz w:val="11"/>
                <w:szCs w:val="11"/>
                <w:b w:val="1"/>
                <w:bCs w:val="1"/>
                <w:color w:val="auto"/>
              </w:rPr>
              <w:t>2025</w:t>
            </w:r>
          </w:p>
        </w:tc>
        <w:tc>
          <w:tcPr>
            <w:tcW w:w="160" w:type="dxa"/>
            <w:vAlign w:val="bottom"/>
          </w:tcPr>
          <w:p>
            <w:pPr>
              <w:spacing w:after="0"/>
              <w:rPr>
                <w:sz w:val="11"/>
                <w:szCs w:val="11"/>
                <w:color w:val="auto"/>
              </w:rPr>
            </w:pPr>
          </w:p>
        </w:tc>
        <w:tc>
          <w:tcPr>
            <w:tcW w:w="23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0" w:type="dxa"/>
            <w:vAlign w:val="bottom"/>
            <w:vMerge w:val="continue"/>
          </w:tcPr>
          <w:p>
            <w:pPr>
              <w:spacing w:after="0"/>
              <w:rPr>
                <w:sz w:val="13"/>
                <w:szCs w:val="13"/>
                <w:color w:val="auto"/>
              </w:rPr>
            </w:pPr>
          </w:p>
        </w:tc>
        <w:tc>
          <w:tcPr>
            <w:tcW w:w="2660" w:type="dxa"/>
            <w:vAlign w:val="bottom"/>
            <w:shd w:val="clear" w:color="auto" w:fill="CFF0FC"/>
          </w:tcPr>
          <w:p>
            <w:pPr>
              <w:spacing w:after="0" w:line="152" w:lineRule="exact"/>
              <w:rPr>
                <w:sz w:val="20"/>
                <w:szCs w:val="20"/>
                <w:color w:val="auto"/>
              </w:rPr>
            </w:pPr>
            <w:r>
              <w:rPr>
                <w:rFonts w:ascii="Times New Roman" w:cs="Times New Roman" w:eastAsia="Times New Roman" w:hAnsi="Times New Roman"/>
                <w:sz w:val="14"/>
                <w:szCs w:val="14"/>
                <w:color w:val="auto"/>
                <w:w w:val="97"/>
              </w:rPr>
              <w:t>Credit Agricole Corporate and Investment Bank</w:t>
            </w:r>
          </w:p>
        </w:tc>
        <w:tc>
          <w:tcPr>
            <w:tcW w:w="240" w:type="dxa"/>
            <w:vAlign w:val="bottom"/>
            <w:gridSpan w:val="2"/>
            <w:shd w:val="clear" w:color="auto" w:fill="CFF0FC"/>
          </w:tcPr>
          <w:p>
            <w:pPr>
              <w:ind w:left="80"/>
              <w:spacing w:after="0" w:line="152"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FF0FC"/>
          </w:tcPr>
          <w:p>
            <w:pPr>
              <w:jc w:val="right"/>
              <w:spacing w:after="0" w:line="152"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shd w:val="clear" w:color="auto" w:fill="CFF0FC"/>
          </w:tcPr>
          <w:p>
            <w:pPr>
              <w:jc w:val="right"/>
              <w:ind w:right="26"/>
              <w:spacing w:after="0" w:line="152"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FF0FC"/>
          </w:tcPr>
          <w:p>
            <w:pPr>
              <w:jc w:val="right"/>
              <w:spacing w:after="0" w:line="152" w:lineRule="exact"/>
              <w:rPr>
                <w:sz w:val="20"/>
                <w:szCs w:val="20"/>
                <w:color w:val="auto"/>
              </w:rPr>
            </w:pPr>
            <w:r>
              <w:rPr>
                <w:rFonts w:ascii="Times New Roman" w:cs="Times New Roman" w:eastAsia="Times New Roman" w:hAnsi="Times New Roman"/>
                <w:sz w:val="14"/>
                <w:szCs w:val="14"/>
                <w:color w:val="auto"/>
              </w:rPr>
              <w:t>500</w:t>
            </w:r>
          </w:p>
        </w:tc>
        <w:tc>
          <w:tcPr>
            <w:tcW w:w="160" w:type="dxa"/>
            <w:vAlign w:val="bottom"/>
            <w:shd w:val="clear" w:color="auto" w:fill="CFF0FC"/>
          </w:tcPr>
          <w:p>
            <w:pPr>
              <w:spacing w:after="0"/>
              <w:rPr>
                <w:sz w:val="13"/>
                <w:szCs w:val="13"/>
                <w:color w:val="auto"/>
              </w:rPr>
            </w:pPr>
          </w:p>
        </w:tc>
        <w:tc>
          <w:tcPr>
            <w:tcW w:w="2360" w:type="dxa"/>
            <w:vAlign w:val="bottom"/>
            <w:shd w:val="clear" w:color="auto" w:fill="CFF0FC"/>
          </w:tcPr>
          <w:p>
            <w:pPr>
              <w:jc w:val="right"/>
              <w:spacing w:after="0" w:line="152" w:lineRule="exact"/>
              <w:rPr>
                <w:sz w:val="20"/>
                <w:szCs w:val="20"/>
                <w:color w:val="auto"/>
              </w:rPr>
            </w:pPr>
            <w:r>
              <w:rPr>
                <w:rFonts w:ascii="Times New Roman" w:cs="Times New Roman" w:eastAsia="Times New Roman" w:hAnsi="Times New Roman"/>
                <w:sz w:val="14"/>
                <w:szCs w:val="14"/>
                <w:color w:val="auto"/>
                <w:w w:val="98"/>
              </w:rPr>
              <w:t>1-year period ending September 30, 2026</w:t>
            </w:r>
          </w:p>
        </w:tc>
        <w:tc>
          <w:tcPr>
            <w:tcW w:w="820" w:type="dxa"/>
            <w:vAlign w:val="bottom"/>
            <w:gridSpan w:val="3"/>
            <w:shd w:val="clear" w:color="auto" w:fill="CFF0FC"/>
          </w:tcPr>
          <w:p>
            <w:pPr>
              <w:jc w:val="right"/>
              <w:ind w:right="20"/>
              <w:spacing w:after="0" w:line="152" w:lineRule="exact"/>
              <w:rPr>
                <w:sz w:val="20"/>
                <w:szCs w:val="20"/>
                <w:color w:val="auto"/>
              </w:rPr>
            </w:pPr>
            <w:r>
              <w:rPr>
                <w:rFonts w:ascii="Times New Roman" w:cs="Times New Roman" w:eastAsia="Times New Roman" w:hAnsi="Times New Roman"/>
                <w:sz w:val="14"/>
                <w:szCs w:val="14"/>
                <w:color w:val="auto"/>
              </w:rPr>
              <w:t>3.72500%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4"/>
                <w:szCs w:val="14"/>
                <w:color w:val="auto"/>
              </w:rPr>
              <w:t>Mizuho Capital Markets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60" w:type="dxa"/>
            <w:vAlign w:val="bottom"/>
          </w:tcPr>
          <w:p>
            <w:pPr>
              <w:spacing w:after="0"/>
              <w:rPr>
                <w:sz w:val="14"/>
                <w:szCs w:val="14"/>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1-year period ending September 30, 2026</w:t>
            </w: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3.61121%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6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w w:val="97"/>
              </w:rPr>
              <w:t>Credit Agricole Corporate and Investment Bank</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60" w:type="dxa"/>
            <w:vAlign w:val="bottom"/>
            <w:shd w:val="clear" w:color="auto" w:fill="CFF0FC"/>
          </w:tcPr>
          <w:p>
            <w:pPr>
              <w:spacing w:after="0"/>
              <w:rPr>
                <w:sz w:val="14"/>
                <w:szCs w:val="14"/>
                <w:color w:val="auto"/>
              </w:rPr>
            </w:pPr>
          </w:p>
        </w:tc>
        <w:tc>
          <w:tcPr>
            <w:tcW w:w="2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98"/>
              </w:rPr>
              <w:t>3-year period ending September 30, 2028</w:t>
            </w:r>
          </w:p>
        </w:tc>
        <w:tc>
          <w:tcPr>
            <w:tcW w:w="8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3.33150%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4"/>
                <w:szCs w:val="14"/>
                <w:color w:val="auto"/>
              </w:rPr>
              <w:t>Morgan Stanley</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60" w:type="dxa"/>
            <w:vAlign w:val="bottom"/>
          </w:tcPr>
          <w:p>
            <w:pPr>
              <w:spacing w:after="0"/>
              <w:rPr>
                <w:sz w:val="14"/>
                <w:szCs w:val="14"/>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3-year period ending September 30, 2028</w:t>
            </w: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3.17700%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6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Mizuho Capital Markets</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1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   2-year period ending September 30, 2028</w:t>
            </w:r>
          </w:p>
        </w:tc>
        <w:tc>
          <w:tcPr>
            <w:tcW w:w="8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3.20220%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3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2660" w:type="dxa"/>
            <w:vAlign w:val="bottom"/>
          </w:tcPr>
          <w:p>
            <w:pPr>
              <w:ind w:left="200"/>
              <w:spacing w:after="0" w:line="152" w:lineRule="exact"/>
              <w:rPr>
                <w:sz w:val="20"/>
                <w:szCs w:val="20"/>
                <w:color w:val="auto"/>
              </w:rPr>
            </w:pPr>
            <w:r>
              <w:rPr>
                <w:rFonts w:ascii="Times New Roman" w:cs="Times New Roman" w:eastAsia="Times New Roman" w:hAnsi="Times New Roman"/>
                <w:sz w:val="14"/>
                <w:szCs w:val="14"/>
                <w:b w:val="1"/>
                <w:bCs w:val="1"/>
                <w:color w:val="auto"/>
              </w:rPr>
              <w:t>Existing contracts</w:t>
            </w:r>
          </w:p>
        </w:tc>
        <w:tc>
          <w:tcPr>
            <w:tcW w:w="240" w:type="dxa"/>
            <w:vAlign w:val="bottom"/>
            <w:gridSpan w:val="2"/>
          </w:tcPr>
          <w:p>
            <w:pPr>
              <w:ind w:left="80"/>
              <w:spacing w:after="0" w:line="152"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1,000</w:t>
            </w:r>
          </w:p>
        </w:tc>
        <w:tc>
          <w:tcPr>
            <w:tcW w:w="300" w:type="dxa"/>
            <w:vAlign w:val="bottom"/>
            <w:gridSpan w:val="2"/>
          </w:tcPr>
          <w:p>
            <w:pPr>
              <w:jc w:val="right"/>
              <w:ind w:right="26"/>
              <w:spacing w:after="0" w:line="152"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1,500</w:t>
            </w:r>
          </w:p>
        </w:tc>
        <w:tc>
          <w:tcPr>
            <w:tcW w:w="16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vMerge w:val="restart"/>
          </w:tcPr>
          <w:p>
            <w:pPr>
              <w:spacing w:after="0"/>
              <w:rPr>
                <w:sz w:val="11"/>
                <w:szCs w:val="11"/>
                <w:color w:val="auto"/>
              </w:rPr>
            </w:pPr>
          </w:p>
        </w:tc>
        <w:tc>
          <w:tcPr>
            <w:tcW w:w="26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3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vMerge w:val="continue"/>
          </w:tcPr>
          <w:p>
            <w:pPr>
              <w:spacing w:after="0"/>
              <w:rPr>
                <w:sz w:val="11"/>
                <w:szCs w:val="11"/>
                <w:color w:val="auto"/>
              </w:rPr>
            </w:pPr>
          </w:p>
        </w:tc>
        <w:tc>
          <w:tcPr>
            <w:tcW w:w="2660" w:type="dxa"/>
            <w:vAlign w:val="bottom"/>
          </w:tcPr>
          <w:p>
            <w:pPr>
              <w:spacing w:after="0" w:line="133" w:lineRule="exact"/>
              <w:rPr>
                <w:sz w:val="20"/>
                <w:szCs w:val="20"/>
                <w:color w:val="auto"/>
              </w:rPr>
            </w:pPr>
            <w:r>
              <w:rPr>
                <w:rFonts w:ascii="Times New Roman" w:cs="Times New Roman" w:eastAsia="Times New Roman" w:hAnsi="Times New Roman"/>
                <w:sz w:val="14"/>
                <w:szCs w:val="14"/>
                <w:color w:val="auto"/>
              </w:rPr>
              <w:t>Mizuho Capital Markets</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line="133"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line="133" w:lineRule="exact"/>
              <w:rPr>
                <w:sz w:val="20"/>
                <w:szCs w:val="20"/>
                <w:color w:val="auto"/>
              </w:rPr>
            </w:pPr>
            <w:r>
              <w:rPr>
                <w:rFonts w:ascii="Times New Roman" w:cs="Times New Roman" w:eastAsia="Times New Roman" w:hAnsi="Times New Roman"/>
                <w:sz w:val="14"/>
                <w:szCs w:val="14"/>
                <w:color w:val="auto"/>
              </w:rPr>
              <w:t>500</w:t>
            </w:r>
          </w:p>
        </w:tc>
        <w:tc>
          <w:tcPr>
            <w:tcW w:w="160" w:type="dxa"/>
            <w:vAlign w:val="bottom"/>
          </w:tcPr>
          <w:p>
            <w:pPr>
              <w:spacing w:after="0"/>
              <w:rPr>
                <w:sz w:val="11"/>
                <w:szCs w:val="11"/>
                <w:color w:val="auto"/>
              </w:rPr>
            </w:pPr>
          </w:p>
        </w:tc>
        <w:tc>
          <w:tcPr>
            <w:tcW w:w="2360" w:type="dxa"/>
            <w:vAlign w:val="bottom"/>
          </w:tcPr>
          <w:p>
            <w:pPr>
              <w:jc w:val="right"/>
              <w:spacing w:after="0" w:line="133" w:lineRule="exact"/>
              <w:rPr>
                <w:sz w:val="20"/>
                <w:szCs w:val="20"/>
                <w:color w:val="auto"/>
              </w:rPr>
            </w:pPr>
            <w:r>
              <w:rPr>
                <w:rFonts w:ascii="Times New Roman" w:cs="Times New Roman" w:eastAsia="Times New Roman" w:hAnsi="Times New Roman"/>
                <w:sz w:val="14"/>
                <w:szCs w:val="14"/>
                <w:color w:val="auto"/>
                <w:w w:val="98"/>
              </w:rPr>
              <w:t>2-year period ending September 30, 2028</w:t>
            </w:r>
          </w:p>
        </w:tc>
        <w:tc>
          <w:tcPr>
            <w:tcW w:w="820" w:type="dxa"/>
            <w:vAlign w:val="bottom"/>
            <w:gridSpan w:val="3"/>
          </w:tcPr>
          <w:p>
            <w:pPr>
              <w:jc w:val="right"/>
              <w:ind w:right="20"/>
              <w:spacing w:after="0" w:line="133" w:lineRule="exact"/>
              <w:rPr>
                <w:sz w:val="20"/>
                <w:szCs w:val="20"/>
                <w:color w:val="auto"/>
              </w:rPr>
            </w:pPr>
            <w:r>
              <w:rPr>
                <w:rFonts w:ascii="Times New Roman" w:cs="Times New Roman" w:eastAsia="Times New Roman" w:hAnsi="Times New Roman"/>
                <w:sz w:val="14"/>
                <w:szCs w:val="14"/>
                <w:color w:val="auto"/>
              </w:rPr>
              <w:t>3.20220%</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2660" w:type="dxa"/>
            <w:vAlign w:val="bottom"/>
            <w:vMerge w:val="restart"/>
          </w:tcPr>
          <w:p>
            <w:pPr>
              <w:ind w:left="200"/>
              <w:spacing w:after="0" w:line="201" w:lineRule="exact"/>
              <w:rPr>
                <w:sz w:val="20"/>
                <w:szCs w:val="20"/>
                <w:color w:val="auto"/>
              </w:rPr>
            </w:pPr>
            <w:r>
              <w:rPr>
                <w:rFonts w:ascii="Times New Roman" w:cs="Times New Roman" w:eastAsia="Times New Roman" w:hAnsi="Times New Roman"/>
                <w:sz w:val="14"/>
                <w:szCs w:val="14"/>
                <w:b w:val="1"/>
                <w:bCs w:val="1"/>
                <w:color w:val="auto"/>
              </w:rPr>
              <w:t xml:space="preserve">Forward starting contracts </w:t>
            </w:r>
            <w:r>
              <w:rPr>
                <w:rFonts w:ascii="Times New Roman" w:cs="Times New Roman" w:eastAsia="Times New Roman" w:hAnsi="Times New Roman"/>
                <w:sz w:val="18"/>
                <w:szCs w:val="18"/>
                <w:b w:val="1"/>
                <w:bCs w:val="1"/>
                <w:color w:val="auto"/>
                <w:vertAlign w:val="superscript"/>
              </w:rPr>
              <w:t>(1)</w:t>
            </w:r>
          </w:p>
        </w:tc>
        <w:tc>
          <w:tcPr>
            <w:tcW w:w="80" w:type="dxa"/>
            <w:vAlign w:val="bottom"/>
            <w:vMerge w:val="restart"/>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660" w:type="dxa"/>
            <w:vAlign w:val="bottom"/>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160" w:type="dxa"/>
            <w:vAlign w:val="bottom"/>
            <w:tcBorders>
              <w:bottom w:val="single" w:sz="8" w:color="auto"/>
            </w:tcBorders>
          </w:tcPr>
          <w:p>
            <w:pPr>
              <w:spacing w:after="0" w:line="152"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vMerge w:val="continue"/>
          </w:tcPr>
          <w:p>
            <w:pPr>
              <w:spacing w:after="0"/>
              <w:rPr>
                <w:sz w:val="13"/>
                <w:szCs w:val="13"/>
                <w:color w:val="auto"/>
              </w:rPr>
            </w:pPr>
          </w:p>
        </w:tc>
        <w:tc>
          <w:tcPr>
            <w:tcW w:w="14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rPr>
              <w:t>500</w:t>
            </w:r>
          </w:p>
        </w:tc>
        <w:tc>
          <w:tcPr>
            <w:tcW w:w="16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2641600</wp:posOffset>
            </wp:positionH>
            <wp:positionV relativeFrom="paragraph">
              <wp:posOffset>-462915</wp:posOffset>
            </wp:positionV>
            <wp:extent cx="47625" cy="698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3201035</wp:posOffset>
            </wp:positionH>
            <wp:positionV relativeFrom="paragraph">
              <wp:posOffset>-462915</wp:posOffset>
            </wp:positionV>
            <wp:extent cx="47625" cy="698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405130</wp:posOffset>
            </wp:positionH>
            <wp:positionV relativeFrom="paragraph">
              <wp:posOffset>-121920</wp:posOffset>
            </wp:positionV>
            <wp:extent cx="4909820" cy="1225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4909820" cy="122555"/>
                    </a:xfrm>
                    <a:prstGeom prst="rect">
                      <a:avLst/>
                    </a:prstGeom>
                    <a:noFill/>
                  </pic:spPr>
                </pic:pic>
              </a:graphicData>
            </a:graphic>
          </wp:anchor>
        </w:drawing>
      </w:r>
    </w:p>
    <w:p>
      <w:pPr>
        <w:spacing w:after="0" w:line="51" w:lineRule="exact"/>
        <w:rPr>
          <w:sz w:val="20"/>
          <w:szCs w:val="20"/>
          <w:color w:val="auto"/>
        </w:rPr>
      </w:pPr>
    </w:p>
    <w:p>
      <w:pPr>
        <w:ind w:left="1340" w:right="739" w:hanging="352"/>
        <w:spacing w:after="0" w:line="268" w:lineRule="auto"/>
        <w:tabs>
          <w:tab w:leader="none" w:pos="13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fourth fiscal quarter of 2025, we entered into a forward starting interest rate swap agreement, with a $500 million notional amount, to hedge the cash flow risk of variability in interest payment on our variable rate borrowings. The effective date of the forward starting interest rate swap agreement is September 30, 2026. As of September 30, 2026, this interest rate swap agreement is an existing contract.</w:t>
      </w:r>
    </w:p>
    <w:p>
      <w:pPr>
        <w:spacing w:after="0" w:line="140" w:lineRule="exact"/>
        <w:rPr>
          <w:sz w:val="20"/>
          <w:szCs w:val="20"/>
          <w:color w:val="auto"/>
        </w:rPr>
      </w:pPr>
    </w:p>
    <w:p>
      <w:pPr>
        <w:ind w:left="640" w:right="839"/>
        <w:spacing w:after="0" w:line="263" w:lineRule="auto"/>
        <w:rPr>
          <w:sz w:val="20"/>
          <w:szCs w:val="20"/>
          <w:color w:val="auto"/>
        </w:rPr>
      </w:pPr>
      <w:r>
        <w:rPr>
          <w:rFonts w:ascii="Times New Roman" w:cs="Times New Roman" w:eastAsia="Times New Roman" w:hAnsi="Times New Roman"/>
          <w:sz w:val="14"/>
          <w:szCs w:val="14"/>
          <w:color w:val="auto"/>
        </w:rPr>
        <w:t>The net fair value of the cash flow hedges as of September 30, 2026 and December 31, 2025 was a $27.4 million asset and a $0.4 million liability, respectively, and is reflected in prepaid expenses and other current assets, other assets, accrued expenses and long-term liabilities, as applicable, in the unaudited condensed consolidated balance sheets. Refer to Note 9 for details. The fair values of our interest rate swaps are based upon Level 2 inputs, which include valuation models. The key inputs for the valuation models are quoted market prices, interest rates, forward yield curves, and credit risk adjustments that are necessary to reflect the probability of default by the counterparty or us.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21" w:name="page22"/>
    <w:bookmarkEnd w:id="21"/>
    <w:p>
      <w:pPr>
        <w:ind w:left="640" w:right="679"/>
        <w:spacing w:after="0" w:line="265" w:lineRule="auto"/>
        <w:rPr>
          <w:sz w:val="20"/>
          <w:szCs w:val="20"/>
          <w:color w:val="auto"/>
        </w:rPr>
      </w:pPr>
      <w:r>
        <w:rPr>
          <w:rFonts w:ascii="Times New Roman" w:cs="Times New Roman" w:eastAsia="Times New Roman" w:hAnsi="Times New Roman"/>
          <w:sz w:val="14"/>
          <w:szCs w:val="14"/>
          <w:color w:val="auto"/>
        </w:rPr>
        <w:t>Amounts reported in accumulated other comprehensive income (“AOCI”) related to derivatives will be reclassified to interest expense as interest payments are made on the Company’s variable-rate debt. Net interest received, including payments made or received under the cash flow hedges, was $0.6 million and $1.6 million for the three and nine months ended September 30, 2026, respectively, as compared to $4.6 million and $13.4 million for the three and nine months ended September 30, 2025, respectively. The Company expects approximately $12.0 million of pre-tax gains to be reclassified out of AOCI into earnings within the next twelve months.</w:t>
      </w:r>
    </w:p>
    <w:p>
      <w:pPr>
        <w:spacing w:after="0" w:line="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The debt modification did not impact the effectiveness of the cash flow hedge arrangements outstanding as of September 30, 2026.</w:t>
      </w:r>
    </w:p>
    <w:p>
      <w:pPr>
        <w:spacing w:after="0" w:line="26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7. Tangible Equity Units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TEUs</w:t>
      </w:r>
      <w:r>
        <w:rPr>
          <w:rFonts w:ascii="Times New Roman" w:cs="Times New Roman" w:eastAsia="Times New Roman" w:hAnsi="Times New Roman"/>
          <w:sz w:val="14"/>
          <w:szCs w:val="14"/>
          <w:color w:val="auto"/>
        </w:rPr>
        <w:t>”)</w:t>
      </w:r>
    </w:p>
    <w:p>
      <w:pPr>
        <w:spacing w:after="0" w:line="185" w:lineRule="exact"/>
        <w:rPr>
          <w:sz w:val="20"/>
          <w:szCs w:val="20"/>
          <w:color w:val="auto"/>
        </w:rPr>
      </w:pPr>
    </w:p>
    <w:p>
      <w:pPr>
        <w:ind w:left="640" w:right="699"/>
        <w:spacing w:after="0" w:line="265" w:lineRule="auto"/>
        <w:rPr>
          <w:sz w:val="20"/>
          <w:szCs w:val="20"/>
          <w:color w:val="auto"/>
        </w:rPr>
      </w:pPr>
      <w:r>
        <w:rPr>
          <w:rFonts w:ascii="Times New Roman" w:cs="Times New Roman" w:eastAsia="Times New Roman" w:hAnsi="Times New Roman"/>
          <w:sz w:val="14"/>
          <w:szCs w:val="14"/>
          <w:color w:val="auto"/>
        </w:rPr>
        <w:t>Concurrently with the IPO in 2024, we issued 8,000,000 TEUs, which have a stated amount of $50.00 per unit. Each TEU is comprised of a prepaid stock purchase contract (“Purchase Contract”) and a senior amortizing note (“Amortizing Note”) due February 1, 2027, each issued by the Company. Each TEU may be separated by a holder into its constituent Purchase Contract and Amortizing Note, each of which is considered a freestanding financial instrument. The proceeds from the issuance were allocated to equity and debt based on the relative fair value of the respective components of each TEU.</w:t>
      </w:r>
    </w:p>
    <w:p>
      <w:pPr>
        <w:spacing w:after="0" w:line="142" w:lineRule="exact"/>
        <w:rPr>
          <w:sz w:val="20"/>
          <w:szCs w:val="20"/>
          <w:color w:val="auto"/>
        </w:rPr>
      </w:pPr>
    </w:p>
    <w:p>
      <w:pPr>
        <w:ind w:left="640" w:right="699"/>
        <w:spacing w:after="0" w:line="261" w:lineRule="auto"/>
        <w:rPr>
          <w:sz w:val="20"/>
          <w:szCs w:val="20"/>
          <w:color w:val="auto"/>
        </w:rPr>
      </w:pPr>
      <w:r>
        <w:rPr>
          <w:rFonts w:ascii="Times New Roman" w:cs="Times New Roman" w:eastAsia="Times New Roman" w:hAnsi="Times New Roman"/>
          <w:sz w:val="14"/>
          <w:szCs w:val="14"/>
          <w:color w:val="auto"/>
        </w:rPr>
        <w:t>The value allocated to the Purchase Contract is reflected net of issuance costs in additional paid-in capital. The value allocated to the Amortizing Notes is reflected in long-term debt, with payments expected in the next twelve months reflected in current portion of long-term debt, in the unaudited condensed consolidated balance sheets. The long-term portion of the Amortizing Notes as of December 31, 2025 was $6.6 million. Because the final installment payment date of February 1, 2027 is within one year of September 30, 2026, the entire carrying amount of the Amortizing Notes was classified within current portion of long-term debt as of September 30, 2026. The current portion of the Amortizing Notes as of September 30, 2026 and December 31, 2025 was $13.0 million and $24.8 million, respectively. Issuance costs related to the Amortizing Notes are reflected as a reduction of the carrying amount and are amortized through the maturity date using the effective interest rate method.</w:t>
      </w:r>
    </w:p>
    <w:p>
      <w:pPr>
        <w:spacing w:after="0" w:line="14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Amortizing Notes</w:t>
      </w:r>
    </w:p>
    <w:p>
      <w:pPr>
        <w:spacing w:after="0" w:line="185" w:lineRule="exact"/>
        <w:rPr>
          <w:sz w:val="20"/>
          <w:szCs w:val="20"/>
          <w:color w:val="auto"/>
        </w:rPr>
      </w:pPr>
    </w:p>
    <w:p>
      <w:pPr>
        <w:ind w:left="640" w:right="679"/>
        <w:spacing w:after="0" w:line="262" w:lineRule="auto"/>
        <w:rPr>
          <w:sz w:val="20"/>
          <w:szCs w:val="20"/>
          <w:color w:val="auto"/>
        </w:rPr>
      </w:pPr>
      <w:r>
        <w:rPr>
          <w:rFonts w:ascii="Times New Roman" w:cs="Times New Roman" w:eastAsia="Times New Roman" w:hAnsi="Times New Roman"/>
          <w:sz w:val="14"/>
          <w:szCs w:val="14"/>
          <w:color w:val="auto"/>
        </w:rPr>
        <w:t>The Company pays equal quarterly cash installments of $0.8438 per Amortizing Note on February 1, May 1, August 1, and November 1, commencing on May 1, 2024, except for the May 1, 2024 installment payment, which was $0.8531 per Amortizing Note, with a final installment payment date of February 1, 2027. In the aggregate, the annual quarterly cash installments are the equivalent of</w:t>
      </w:r>
    </w:p>
    <w:p>
      <w:pPr>
        <w:spacing w:after="0" w:line="2" w:lineRule="exact"/>
        <w:rPr>
          <w:sz w:val="20"/>
          <w:szCs w:val="20"/>
          <w:color w:val="auto"/>
        </w:rPr>
      </w:pPr>
    </w:p>
    <w:p>
      <w:pPr>
        <w:ind w:left="640" w:right="679"/>
        <w:spacing w:after="0" w:line="260" w:lineRule="auto"/>
        <w:rPr>
          <w:sz w:val="20"/>
          <w:szCs w:val="20"/>
          <w:color w:val="auto"/>
        </w:rPr>
      </w:pPr>
      <w:r>
        <w:rPr>
          <w:rFonts w:ascii="Times New Roman" w:cs="Times New Roman" w:eastAsia="Times New Roman" w:hAnsi="Times New Roman"/>
          <w:sz w:val="14"/>
          <w:szCs w:val="14"/>
          <w:color w:val="auto"/>
        </w:rPr>
        <w:t>6.75% per year. Each installment payment constitutes a payment of interest and a partial repayment of principal. The Company paid $6.8 million and $20.3 million in TEU installment payments during the three and nine months ended September 30, 2026, respectively, as compared to $6.7 million and $20.2 million during the three and nine months ended September 30, 2025, respectively. The Amortizing Notes rank equally in right of payment with all other existing and future unsecured senior indebtedness and rank senior to all of our existing and future indebtedness, if any, that is subordinated to the Amortizing Notes.</w:t>
      </w:r>
    </w:p>
    <w:p>
      <w:pPr>
        <w:spacing w:after="0" w:line="14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Purchase Contracts</w:t>
      </w:r>
    </w:p>
    <w:p>
      <w:pPr>
        <w:spacing w:after="0" w:line="185" w:lineRule="exact"/>
        <w:rPr>
          <w:sz w:val="20"/>
          <w:szCs w:val="20"/>
          <w:color w:val="auto"/>
        </w:rPr>
      </w:pPr>
    </w:p>
    <w:p>
      <w:pPr>
        <w:ind w:left="640" w:right="759"/>
        <w:spacing w:after="0" w:line="262" w:lineRule="auto"/>
        <w:rPr>
          <w:sz w:val="20"/>
          <w:szCs w:val="20"/>
          <w:color w:val="auto"/>
        </w:rPr>
      </w:pPr>
      <w:r>
        <w:rPr>
          <w:rFonts w:ascii="Times New Roman" w:cs="Times New Roman" w:eastAsia="Times New Roman" w:hAnsi="Times New Roman"/>
          <w:sz w:val="14"/>
          <w:szCs w:val="14"/>
          <w:color w:val="auto"/>
        </w:rPr>
        <w:t>At any time prior to the second scheduled trading day immediately preceding February 1, 2027, a holder may elect to settle its Purchase Contract early, in whole or in part, at an early settlement rate equal to the minimum settlement rate. The Company has the right to settle the Purchase Contracts on or after November 1, 2024, in whole but not in part, on a date fixed by it at an early mandatory settlement rate equal to the maximum settlement rate, subject to certain exceptions. During the three and nine months ended September 30, 2026, 786,864 and 3,313,010 shares of common stock were issued as a result of TEUs converted at the holder’s option. During the three and nine months ended September 30, 2025, 2,831,467 shares of common stock were issued as a result of TEUs converted at the holder’s option.</w:t>
      </w:r>
    </w:p>
    <w:p>
      <w:pPr>
        <w:spacing w:after="0" w:line="59" w:lineRule="exact"/>
        <w:rPr>
          <w:sz w:val="20"/>
          <w:szCs w:val="20"/>
          <w:color w:val="auto"/>
        </w:rPr>
      </w:pPr>
    </w:p>
    <w:p>
      <w:pPr>
        <w:ind w:left="640" w:right="699"/>
        <w:spacing w:after="0" w:line="274" w:lineRule="auto"/>
        <w:rPr>
          <w:sz w:val="20"/>
          <w:szCs w:val="20"/>
          <w:color w:val="auto"/>
        </w:rPr>
      </w:pPr>
      <w:r>
        <w:rPr>
          <w:rFonts w:ascii="Times New Roman" w:cs="Times New Roman" w:eastAsia="Times New Roman" w:hAnsi="Times New Roman"/>
          <w:sz w:val="14"/>
          <w:szCs w:val="14"/>
          <w:color w:val="auto"/>
        </w:rPr>
        <w:t>Unless settled earlier at the holder’s option or at the Company’s election, each Purchase Contract will, subject to postponement in certain limited circumstances, automatically settle on February 1, 2027 for a number of shares of our common stock, subject to certain anti-dilution adjustments, based upon the 20-day volume-weighted average price of our common stock.</w:t>
      </w:r>
    </w:p>
    <w:p>
      <w:pPr>
        <w:spacing w:after="0" w:line="50" w:lineRule="exact"/>
        <w:rPr>
          <w:sz w:val="20"/>
          <w:szCs w:val="20"/>
          <w:color w:val="auto"/>
        </w:rPr>
      </w:pPr>
    </w:p>
    <w:p>
      <w:pPr>
        <w:ind w:left="640" w:right="799"/>
        <w:spacing w:after="0" w:line="263" w:lineRule="auto"/>
        <w:rPr>
          <w:sz w:val="20"/>
          <w:szCs w:val="20"/>
          <w:color w:val="auto"/>
        </w:rPr>
      </w:pPr>
      <w:r>
        <w:rPr>
          <w:rFonts w:ascii="Times New Roman" w:cs="Times New Roman" w:eastAsia="Times New Roman" w:hAnsi="Times New Roman"/>
          <w:sz w:val="14"/>
          <w:szCs w:val="14"/>
          <w:color w:val="auto"/>
        </w:rPr>
        <w:t>The Purchase Contracts are mandatorily convertible into a minimum of 26.2 million shares or a maximum of 30.8 million shares of our common stock on the mandatory settlement date (unless redeemed by us or settled earlier at the unit holder’s option). The 26.2 million minimum shares are included in the calculation of basic weighted average shares outstanding. The difference between the minimum and maximum shares represents potentially dilutive securities, which are included in the calculation of diluted weighted average shares outstanding to the extent that the average applicable market value is equal to or greater than $13.00 but is less than or equal to $15.28 during the period (see Note 10).</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22" w:name="page23"/>
    <w:bookmarkEnd w:id="22"/>
    <w:p>
      <w:pPr>
        <w:ind w:left="640"/>
        <w:spacing w:after="0"/>
        <w:rPr>
          <w:sz w:val="20"/>
          <w:szCs w:val="20"/>
          <w:color w:val="auto"/>
        </w:rPr>
      </w:pPr>
      <w:r>
        <w:rPr>
          <w:rFonts w:ascii="Times New Roman" w:cs="Times New Roman" w:eastAsia="Times New Roman" w:hAnsi="Times New Roman"/>
          <w:sz w:val="14"/>
          <w:szCs w:val="14"/>
          <w:b w:val="1"/>
          <w:bCs w:val="1"/>
          <w:color w:val="auto"/>
        </w:rPr>
        <w:t>8. Income Taxes</w:t>
      </w:r>
    </w:p>
    <w:p>
      <w:pPr>
        <w:spacing w:after="0" w:line="185" w:lineRule="exact"/>
        <w:rPr>
          <w:sz w:val="20"/>
          <w:szCs w:val="20"/>
          <w:color w:val="auto"/>
        </w:rPr>
      </w:pPr>
    </w:p>
    <w:p>
      <w:pPr>
        <w:ind w:left="640" w:right="799"/>
        <w:spacing w:after="0" w:line="274" w:lineRule="auto"/>
        <w:rPr>
          <w:sz w:val="20"/>
          <w:szCs w:val="20"/>
          <w:color w:val="auto"/>
        </w:rPr>
      </w:pPr>
      <w:r>
        <w:rPr>
          <w:rFonts w:ascii="Times New Roman" w:cs="Times New Roman" w:eastAsia="Times New Roman" w:hAnsi="Times New Roman"/>
          <w:sz w:val="14"/>
          <w:szCs w:val="14"/>
          <w:color w:val="auto"/>
        </w:rPr>
        <w:t>The provision for income taxes is attributable to U.S federal, state, and foreign income taxes. The Company’s effective tax rate used for interim periods is based on an estimated annual effective tax rate and includes the tax effect of items required to be recorded discretely in the interim periods in which those items occur.</w:t>
      </w:r>
    </w:p>
    <w:p>
      <w:pPr>
        <w:spacing w:after="0" w:line="13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A reconciliation of the Company’s effective tax rate is as follows:</w:t>
      </w:r>
    </w:p>
    <w:p>
      <w:pPr>
        <w:spacing w:after="0" w:line="170" w:lineRule="exact"/>
        <w:rPr>
          <w:sz w:val="20"/>
          <w:szCs w:val="20"/>
          <w:color w:val="auto"/>
        </w:rPr>
      </w:pPr>
    </w:p>
    <w:tbl>
      <w:tblPr>
        <w:tblLayout w:type="fixed"/>
        <w:tblInd w:w="640" w:type="dxa"/>
        <w:tblCellMar>
          <w:top w:w="0" w:type="dxa"/>
          <w:left w:w="0" w:type="dxa"/>
          <w:bottom w:w="0" w:type="dxa"/>
          <w:right w:w="0" w:type="dxa"/>
        </w:tblCellMar>
      </w:tblPr>
      <w:tr>
        <w:trPr>
          <w:trHeight w:val="126"/>
        </w:trPr>
        <w:tc>
          <w:tcPr>
            <w:tcW w:w="3700" w:type="dxa"/>
            <w:vAlign w:val="bottom"/>
          </w:tcPr>
          <w:p>
            <w:pPr>
              <w:spacing w:after="0"/>
              <w:rPr>
                <w:sz w:val="11"/>
                <w:szCs w:val="11"/>
                <w:color w:val="auto"/>
              </w:rPr>
            </w:pPr>
          </w:p>
        </w:tc>
        <w:tc>
          <w:tcPr>
            <w:tcW w:w="2040" w:type="dxa"/>
            <w:vAlign w:val="bottom"/>
            <w:gridSpan w:val="6"/>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For the Three Months Ended</w:t>
            </w:r>
          </w:p>
        </w:tc>
        <w:tc>
          <w:tcPr>
            <w:tcW w:w="2000" w:type="dxa"/>
            <w:vAlign w:val="bottom"/>
            <w:gridSpan w:val="5"/>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For the Nine Months Ended</w:t>
            </w:r>
          </w:p>
        </w:tc>
      </w:tr>
      <w:tr>
        <w:trPr>
          <w:trHeight w:val="137"/>
        </w:trPr>
        <w:tc>
          <w:tcPr>
            <w:tcW w:w="370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5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tcBorders>
              <w:bottom w:val="single" w:sz="8" w:color="auto"/>
            </w:tcBorders>
            <w:gridSpan w:val="3"/>
          </w:tcPr>
          <w:p>
            <w:pPr>
              <w:jc w:val="center"/>
              <w:ind w:left="476"/>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5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r>
      <w:tr>
        <w:trPr>
          <w:trHeight w:val="109"/>
        </w:trPr>
        <w:tc>
          <w:tcPr>
            <w:tcW w:w="3700" w:type="dxa"/>
            <w:vAlign w:val="bottom"/>
          </w:tcPr>
          <w:p>
            <w:pPr>
              <w:spacing w:after="0"/>
              <w:rPr>
                <w:sz w:val="9"/>
                <w:szCs w:val="9"/>
                <w:color w:val="auto"/>
              </w:rPr>
            </w:pPr>
          </w:p>
        </w:tc>
        <w:tc>
          <w:tcPr>
            <w:tcW w:w="500" w:type="dxa"/>
            <w:vAlign w:val="bottom"/>
            <w:tcBorders>
              <w:bottom w:val="single" w:sz="8" w:color="auto"/>
            </w:tcBorders>
          </w:tcPr>
          <w:p>
            <w:pPr>
              <w:jc w:val="right"/>
              <w:spacing w:after="0" w:line="109" w:lineRule="exact"/>
              <w:rPr>
                <w:sz w:val="20"/>
                <w:szCs w:val="20"/>
                <w:color w:val="auto"/>
              </w:rPr>
            </w:pPr>
            <w:r>
              <w:rPr>
                <w:rFonts w:ascii="Times New Roman" w:cs="Times New Roman" w:eastAsia="Times New Roman" w:hAnsi="Times New Roman"/>
                <w:sz w:val="11"/>
                <w:szCs w:val="11"/>
                <w:b w:val="1"/>
                <w:bCs w:val="1"/>
                <w:color w:val="auto"/>
              </w:rPr>
              <w:t>2026</w:t>
            </w:r>
          </w:p>
        </w:tc>
        <w:tc>
          <w:tcPr>
            <w:tcW w:w="2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jc w:val="right"/>
              <w:ind w:right="192"/>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260" w:type="dxa"/>
            <w:vAlign w:val="bottom"/>
          </w:tcPr>
          <w:p>
            <w:pPr>
              <w:spacing w:after="0"/>
              <w:rPr>
                <w:sz w:val="9"/>
                <w:szCs w:val="9"/>
                <w:color w:val="auto"/>
              </w:rPr>
            </w:pPr>
          </w:p>
        </w:tc>
        <w:tc>
          <w:tcPr>
            <w:tcW w:w="760" w:type="dxa"/>
            <w:vAlign w:val="bottom"/>
            <w:tcBorders>
              <w:bottom w:val="single" w:sz="8" w:color="auto"/>
            </w:tcBorders>
          </w:tcPr>
          <w:p>
            <w:pPr>
              <w:jc w:val="right"/>
              <w:ind w:right="196"/>
              <w:spacing w:after="0" w:line="109" w:lineRule="exact"/>
              <w:rPr>
                <w:sz w:val="20"/>
                <w:szCs w:val="20"/>
                <w:color w:val="auto"/>
              </w:rPr>
            </w:pPr>
            <w:r>
              <w:rPr>
                <w:rFonts w:ascii="Times New Roman" w:cs="Times New Roman" w:eastAsia="Times New Roman" w:hAnsi="Times New Roman"/>
                <w:sz w:val="11"/>
                <w:szCs w:val="11"/>
                <w:b w:val="1"/>
                <w:bCs w:val="1"/>
                <w:color w:val="auto"/>
              </w:rPr>
              <w:t>2026</w:t>
            </w:r>
          </w:p>
        </w:tc>
        <w:tc>
          <w:tcPr>
            <w:tcW w:w="26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jc w:val="right"/>
              <w:ind w:right="212"/>
              <w:spacing w:after="0" w:line="109" w:lineRule="exact"/>
              <w:rPr>
                <w:sz w:val="20"/>
                <w:szCs w:val="20"/>
                <w:color w:val="auto"/>
              </w:rPr>
            </w:pPr>
            <w:r>
              <w:rPr>
                <w:rFonts w:ascii="Times New Roman" w:cs="Times New Roman" w:eastAsia="Times New Roman" w:hAnsi="Times New Roman"/>
                <w:sz w:val="11"/>
                <w:szCs w:val="11"/>
                <w:b w:val="1"/>
                <w:bCs w:val="1"/>
                <w:color w:val="auto"/>
                <w:w w:val="99"/>
              </w:rPr>
              <w:t>2025</w:t>
            </w:r>
          </w:p>
        </w:tc>
        <w:tc>
          <w:tcPr>
            <w:tcW w:w="200" w:type="dxa"/>
            <w:vAlign w:val="bottom"/>
          </w:tcPr>
          <w:p>
            <w:pPr>
              <w:spacing w:after="0"/>
              <w:rPr>
                <w:sz w:val="9"/>
                <w:szCs w:val="9"/>
                <w:color w:val="auto"/>
              </w:rPr>
            </w:pPr>
          </w:p>
        </w:tc>
      </w:tr>
      <w:tr>
        <w:trPr>
          <w:trHeight w:val="163"/>
        </w:trPr>
        <w:tc>
          <w:tcPr>
            <w:tcW w:w="42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Estimated annual effective tax rate before discrete items</w:t>
            </w:r>
          </w:p>
        </w:tc>
        <w:tc>
          <w:tcPr>
            <w:tcW w:w="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w w:val="99"/>
              </w:rPr>
              <w:t>25.4%</w:t>
            </w:r>
          </w:p>
        </w:tc>
        <w:tc>
          <w:tcPr>
            <w:tcW w:w="24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26.4%</w:t>
            </w: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25.4%</w:t>
            </w:r>
          </w:p>
        </w:tc>
        <w:tc>
          <w:tcPr>
            <w:tcW w:w="26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26.4%</w:t>
            </w:r>
          </w:p>
        </w:tc>
      </w:tr>
      <w:tr>
        <w:trPr>
          <w:trHeight w:val="172"/>
        </w:trPr>
        <w:tc>
          <w:tcPr>
            <w:tcW w:w="3700" w:type="dxa"/>
            <w:vAlign w:val="bottom"/>
          </w:tcPr>
          <w:p>
            <w:pPr>
              <w:spacing w:after="0"/>
              <w:rPr>
                <w:sz w:val="20"/>
                <w:szCs w:val="20"/>
                <w:color w:val="auto"/>
              </w:rPr>
            </w:pPr>
            <w:r>
              <w:rPr>
                <w:rFonts w:ascii="Times New Roman" w:cs="Times New Roman" w:eastAsia="Times New Roman" w:hAnsi="Times New Roman"/>
                <w:sz w:val="14"/>
                <w:szCs w:val="14"/>
                <w:color w:val="auto"/>
              </w:rPr>
              <w:t>Discrete items recognized</w:t>
            </w:r>
          </w:p>
        </w:tc>
        <w:tc>
          <w:tcPr>
            <w:tcW w:w="500" w:type="dxa"/>
            <w:vAlign w:val="bottom"/>
          </w:tcPr>
          <w:p>
            <w:pPr>
              <w:spacing w:after="0"/>
              <w:rPr>
                <w:sz w:val="14"/>
                <w:szCs w:val="14"/>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(3.3)%</w:t>
            </w:r>
          </w:p>
        </w:tc>
        <w:tc>
          <w:tcPr>
            <w:tcW w:w="24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(2.0)%</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(11.0)%</w:t>
            </w:r>
          </w:p>
        </w:tc>
        <w:tc>
          <w:tcPr>
            <w:tcW w:w="260" w:type="dxa"/>
            <w:vAlign w:val="bottom"/>
          </w:tcPr>
          <w:p>
            <w:pPr>
              <w:spacing w:after="0"/>
              <w:rPr>
                <w:sz w:val="14"/>
                <w:szCs w:val="14"/>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(7.2)%</w:t>
            </w:r>
          </w:p>
        </w:tc>
      </w:tr>
      <w:tr>
        <w:trPr>
          <w:trHeight w:val="20"/>
        </w:trPr>
        <w:tc>
          <w:tcPr>
            <w:tcW w:w="37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83"/>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Effective tax rate recognized in the statements of operations</w:t>
            </w:r>
          </w:p>
        </w:tc>
        <w:tc>
          <w:tcPr>
            <w:tcW w:w="500" w:type="dxa"/>
            <w:vAlign w:val="bottom"/>
            <w:shd w:val="clear" w:color="auto" w:fill="CFF0FC"/>
          </w:tcPr>
          <w:p>
            <w:pPr>
              <w:spacing w:after="0"/>
              <w:rPr>
                <w:sz w:val="15"/>
                <w:szCs w:val="15"/>
                <w:color w:val="auto"/>
              </w:rPr>
            </w:pPr>
          </w:p>
        </w:tc>
        <w:tc>
          <w:tcPr>
            <w:tcW w:w="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w w:val="99"/>
              </w:rPr>
              <w:t>22.1%</w:t>
            </w:r>
          </w:p>
        </w:tc>
        <w:tc>
          <w:tcPr>
            <w:tcW w:w="24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24.4%</w:t>
            </w: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14.4%</w:t>
            </w:r>
          </w:p>
        </w:tc>
        <w:tc>
          <w:tcPr>
            <w:tcW w:w="26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19.2%</w:t>
            </w:r>
          </w:p>
        </w:tc>
      </w:tr>
      <w:tr>
        <w:trPr>
          <w:trHeight w:val="20"/>
        </w:trPr>
        <w:tc>
          <w:tcPr>
            <w:tcW w:w="370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3241675</wp:posOffset>
            </wp:positionH>
            <wp:positionV relativeFrom="paragraph">
              <wp:posOffset>-19685</wp:posOffset>
            </wp:positionV>
            <wp:extent cx="116205" cy="698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16205" cy="6985"/>
                    </a:xfrm>
                    <a:prstGeom prst="rect">
                      <a:avLst/>
                    </a:prstGeom>
                    <a:noFill/>
                  </pic:spPr>
                </pic:pic>
              </a:graphicData>
            </a:graphic>
          </wp:anchor>
        </w:drawing>
        <w:drawing>
          <wp:anchor simplePos="0" relativeHeight="251657728" behindDoc="1" locked="0" layoutInCell="0" allowOverlap="1">
            <wp:simplePos x="0" y="0"/>
            <wp:positionH relativeFrom="column">
              <wp:posOffset>3241675</wp:posOffset>
            </wp:positionH>
            <wp:positionV relativeFrom="paragraph">
              <wp:posOffset>-6350</wp:posOffset>
            </wp:positionV>
            <wp:extent cx="116205" cy="698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16205" cy="6985"/>
                    </a:xfrm>
                    <a:prstGeom prst="rect">
                      <a:avLst/>
                    </a:prstGeom>
                    <a:noFill/>
                  </pic:spPr>
                </pic:pic>
              </a:graphicData>
            </a:graphic>
          </wp:anchor>
        </w:drawing>
        <w:drawing>
          <wp:anchor simplePos="0" relativeHeight="251657728" behindDoc="1" locked="0" layoutInCell="0" allowOverlap="1">
            <wp:simplePos x="0" y="0"/>
            <wp:positionH relativeFrom="column">
              <wp:posOffset>3890010</wp:posOffset>
            </wp:positionH>
            <wp:positionV relativeFrom="paragraph">
              <wp:posOffset>-19685</wp:posOffset>
            </wp:positionV>
            <wp:extent cx="116205" cy="698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16205" cy="6985"/>
                    </a:xfrm>
                    <a:prstGeom prst="rect">
                      <a:avLst/>
                    </a:prstGeom>
                    <a:noFill/>
                  </pic:spPr>
                </pic:pic>
              </a:graphicData>
            </a:graphic>
          </wp:anchor>
        </w:drawing>
        <w:drawing>
          <wp:anchor simplePos="0" relativeHeight="251657728" behindDoc="1" locked="0" layoutInCell="0" allowOverlap="1">
            <wp:simplePos x="0" y="0"/>
            <wp:positionH relativeFrom="column">
              <wp:posOffset>3890010</wp:posOffset>
            </wp:positionH>
            <wp:positionV relativeFrom="paragraph">
              <wp:posOffset>-6350</wp:posOffset>
            </wp:positionV>
            <wp:extent cx="116205" cy="698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16205" cy="6985"/>
                    </a:xfrm>
                    <a:prstGeom prst="rect">
                      <a:avLst/>
                    </a:prstGeom>
                    <a:noFill/>
                  </pic:spPr>
                </pic:pic>
              </a:graphicData>
            </a:graphic>
          </wp:anchor>
        </w:drawing>
        <w:drawing>
          <wp:anchor simplePos="0" relativeHeight="251657728" behindDoc="1" locked="0" layoutInCell="0" allowOverlap="1">
            <wp:simplePos x="0" y="0"/>
            <wp:positionH relativeFrom="column">
              <wp:posOffset>4537710</wp:posOffset>
            </wp:positionH>
            <wp:positionV relativeFrom="paragraph">
              <wp:posOffset>-19685</wp:posOffset>
            </wp:positionV>
            <wp:extent cx="116205" cy="698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16205" cy="6985"/>
                    </a:xfrm>
                    <a:prstGeom prst="rect">
                      <a:avLst/>
                    </a:prstGeom>
                    <a:noFill/>
                  </pic:spPr>
                </pic:pic>
              </a:graphicData>
            </a:graphic>
          </wp:anchor>
        </w:drawing>
        <w:drawing>
          <wp:anchor simplePos="0" relativeHeight="251657728" behindDoc="1" locked="0" layoutInCell="0" allowOverlap="1">
            <wp:simplePos x="0" y="0"/>
            <wp:positionH relativeFrom="column">
              <wp:posOffset>4537710</wp:posOffset>
            </wp:positionH>
            <wp:positionV relativeFrom="paragraph">
              <wp:posOffset>-6350</wp:posOffset>
            </wp:positionV>
            <wp:extent cx="116205" cy="698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16205" cy="6985"/>
                    </a:xfrm>
                    <a:prstGeom prst="rect">
                      <a:avLst/>
                    </a:prstGeom>
                    <a:noFill/>
                  </pic:spPr>
                </pic:pic>
              </a:graphicData>
            </a:graphic>
          </wp:anchor>
        </w:drawing>
        <w:drawing>
          <wp:anchor simplePos="0" relativeHeight="251657728" behindDoc="1" locked="0" layoutInCell="0" allowOverlap="1">
            <wp:simplePos x="0" y="0"/>
            <wp:positionH relativeFrom="column">
              <wp:posOffset>5199380</wp:posOffset>
            </wp:positionH>
            <wp:positionV relativeFrom="paragraph">
              <wp:posOffset>-19685</wp:posOffset>
            </wp:positionV>
            <wp:extent cx="116205" cy="698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16205" cy="6985"/>
                    </a:xfrm>
                    <a:prstGeom prst="rect">
                      <a:avLst/>
                    </a:prstGeom>
                    <a:noFill/>
                  </pic:spPr>
                </pic:pic>
              </a:graphicData>
            </a:graphic>
          </wp:anchor>
        </w:drawing>
        <w:drawing>
          <wp:anchor simplePos="0" relativeHeight="251657728" behindDoc="1" locked="0" layoutInCell="0" allowOverlap="1">
            <wp:simplePos x="0" y="0"/>
            <wp:positionH relativeFrom="column">
              <wp:posOffset>5199380</wp:posOffset>
            </wp:positionH>
            <wp:positionV relativeFrom="paragraph">
              <wp:posOffset>-6350</wp:posOffset>
            </wp:positionV>
            <wp:extent cx="116205" cy="698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16205" cy="6985"/>
                    </a:xfrm>
                    <a:prstGeom prst="rect">
                      <a:avLst/>
                    </a:prstGeom>
                    <a:noFill/>
                  </pic:spPr>
                </pic:pic>
              </a:graphicData>
            </a:graphic>
          </wp:anchor>
        </w:drawing>
      </w:r>
    </w:p>
    <w:p>
      <w:pPr>
        <w:spacing w:after="0" w:line="137" w:lineRule="exact"/>
        <w:rPr>
          <w:sz w:val="20"/>
          <w:szCs w:val="20"/>
          <w:color w:val="auto"/>
        </w:rPr>
      </w:pPr>
    </w:p>
    <w:p>
      <w:pPr>
        <w:ind w:left="640" w:right="739"/>
        <w:spacing w:after="0" w:line="262" w:lineRule="auto"/>
        <w:rPr>
          <w:sz w:val="20"/>
          <w:szCs w:val="20"/>
          <w:color w:val="auto"/>
        </w:rPr>
      </w:pPr>
      <w:r>
        <w:rPr>
          <w:rFonts w:ascii="Times New Roman" w:cs="Times New Roman" w:eastAsia="Times New Roman" w:hAnsi="Times New Roman"/>
          <w:sz w:val="14"/>
          <w:szCs w:val="14"/>
          <w:color w:val="auto"/>
        </w:rPr>
        <w:t>During the three and nine months ended September 30, 2026 and 2025, the Company’s effective tax rates were lower than the U.S. federal income tax rate, primarily due to excess tax benefits recognized on share-based compensation awards. Excess tax benefits totaled $3.7 million and $33.0 million for the three and nine months ended September 30, 2026, respectively, compared to $1.0 million and $4.7 million for the three and nine months ended September 30, 2025. These benefits are recognized as discrete tax items in the periods in which awards vest or are exercised and can vary significantly based on the Company’s stock price and employee activity. The favorable impact of these benefits was partially offset by permanent tax adjustments related to compensation that is nondeductible under Section 162(m) of the Internal Revenue Code.</w:t>
      </w:r>
    </w:p>
    <w:p>
      <w:pPr>
        <w:spacing w:after="0" w:line="2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9. Detail of Certain Balance Sheet Accounts</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Prepaid expenses and other current assets consist of the following (in thousands):</w:t>
      </w:r>
    </w:p>
    <w:p>
      <w:pPr>
        <w:spacing w:after="0" w:line="178" w:lineRule="exact"/>
        <w:rPr>
          <w:sz w:val="20"/>
          <w:szCs w:val="20"/>
          <w:color w:val="auto"/>
        </w:rPr>
      </w:pPr>
    </w:p>
    <w:tbl>
      <w:tblPr>
        <w:tblLayout w:type="fixed"/>
        <w:tblInd w:w="120" w:type="dxa"/>
        <w:tblCellMar>
          <w:top w:w="0" w:type="dxa"/>
          <w:left w:w="0" w:type="dxa"/>
          <w:bottom w:w="0" w:type="dxa"/>
          <w:right w:w="0" w:type="dxa"/>
        </w:tblCellMar>
      </w:tblPr>
      <w:tr>
        <w:trPr>
          <w:trHeight w:val="137"/>
        </w:trPr>
        <w:tc>
          <w:tcPr>
            <w:tcW w:w="52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1"/>
                <w:szCs w:val="11"/>
                <w:b w:val="1"/>
                <w:bCs w:val="1"/>
                <w:color w:val="auto"/>
              </w:rPr>
              <w:t>September 30, 2026</w:t>
            </w:r>
          </w:p>
        </w:tc>
        <w:tc>
          <w:tcPr>
            <w:tcW w:w="1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6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520" w:type="dxa"/>
            <w:vAlign w:val="bottom"/>
          </w:tcPr>
          <w:p>
            <w:pPr>
              <w:spacing w:after="0"/>
              <w:rPr>
                <w:sz w:val="14"/>
                <w:szCs w:val="14"/>
                <w:color w:val="auto"/>
              </w:rPr>
            </w:pPr>
          </w:p>
        </w:tc>
        <w:tc>
          <w:tcPr>
            <w:tcW w:w="33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Non-trade receivables</w:t>
            </w:r>
          </w:p>
        </w:tc>
        <w:tc>
          <w:tcPr>
            <w:tcW w:w="1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58,983</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38,196</w:t>
            </w:r>
          </w:p>
        </w:tc>
        <w:tc>
          <w:tcPr>
            <w:tcW w:w="80" w:type="dxa"/>
            <w:vAlign w:val="bottom"/>
            <w:shd w:val="clear" w:color="auto" w:fill="CFF0FC"/>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4"/>
                <w:szCs w:val="14"/>
                <w:color w:val="auto"/>
              </w:rPr>
              <w:t>Income tax receivable</w:t>
            </w: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28,859</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864</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33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Rebate receivable</w:t>
            </w:r>
          </w:p>
        </w:tc>
        <w:tc>
          <w:tcPr>
            <w:tcW w:w="15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26,162</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32,407</w:t>
            </w:r>
          </w:p>
        </w:tc>
        <w:tc>
          <w:tcPr>
            <w:tcW w:w="80" w:type="dxa"/>
            <w:vAlign w:val="bottom"/>
            <w:shd w:val="clear" w:color="auto" w:fill="CFF0FC"/>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4"/>
                <w:szCs w:val="14"/>
                <w:color w:val="auto"/>
              </w:rPr>
              <w:t>Dues and subscriptions</w:t>
            </w: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12,401</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7,588</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33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Prepaid insurance</w:t>
            </w:r>
          </w:p>
        </w:tc>
        <w:tc>
          <w:tcPr>
            <w:tcW w:w="15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10,934</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13,255</w:t>
            </w:r>
          </w:p>
        </w:tc>
        <w:tc>
          <w:tcPr>
            <w:tcW w:w="80" w:type="dxa"/>
            <w:vAlign w:val="bottom"/>
            <w:shd w:val="clear" w:color="auto" w:fill="CFF0FC"/>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4"/>
                <w:szCs w:val="14"/>
                <w:color w:val="auto"/>
              </w:rPr>
              <w:t>Inventory returns receivable</w:t>
            </w: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6,484</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11,019</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33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Other prepaid expenses and current assets</w:t>
            </w:r>
          </w:p>
        </w:tc>
        <w:tc>
          <w:tcPr>
            <w:tcW w:w="15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16,127</w:t>
            </w:r>
          </w:p>
        </w:tc>
        <w:tc>
          <w:tcPr>
            <w:tcW w:w="18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15,263</w:t>
            </w:r>
          </w:p>
        </w:tc>
        <w:tc>
          <w:tcPr>
            <w:tcW w:w="80" w:type="dxa"/>
            <w:vAlign w:val="bottom"/>
            <w:tcBorders>
              <w:bottom w:val="single" w:sz="8" w:color="CFF0FC"/>
            </w:tcBorders>
            <w:shd w:val="clear" w:color="auto" w:fill="CFF0FC"/>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20" w:type="dxa"/>
            <w:vAlign w:val="bottom"/>
          </w:tcPr>
          <w:p>
            <w:pPr>
              <w:spacing w:after="0"/>
              <w:rPr>
                <w:sz w:val="14"/>
                <w:szCs w:val="14"/>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4"/>
                <w:szCs w:val="14"/>
                <w:color w:val="auto"/>
              </w:rPr>
              <w:t>Total prepaid expenses and other current assets</w:t>
            </w: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159,950</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118,592</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900" w:type="dxa"/>
            <w:vAlign w:val="bottom"/>
            <w:gridSpan w:val="2"/>
            <w:vMerge w:val="restart"/>
          </w:tcPr>
          <w:p>
            <w:pPr>
              <w:ind w:left="520"/>
              <w:spacing w:after="0"/>
              <w:rPr>
                <w:sz w:val="20"/>
                <w:szCs w:val="20"/>
                <w:color w:val="auto"/>
              </w:rPr>
            </w:pPr>
            <w:r>
              <w:rPr>
                <w:rFonts w:ascii="Times New Roman" w:cs="Times New Roman" w:eastAsia="Times New Roman" w:hAnsi="Times New Roman"/>
                <w:sz w:val="14"/>
                <w:szCs w:val="14"/>
                <w:color w:val="auto"/>
              </w:rPr>
              <w:t>Other assets consist of the following (in thousands):</w:t>
            </w:r>
          </w:p>
        </w:tc>
        <w:tc>
          <w:tcPr>
            <w:tcW w:w="1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5"/>
        </w:trPr>
        <w:tc>
          <w:tcPr>
            <w:tcW w:w="3900" w:type="dxa"/>
            <w:vAlign w:val="bottom"/>
            <w:gridSpan w:val="2"/>
            <w:vMerge w:val="continue"/>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5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1"/>
                <w:szCs w:val="11"/>
                <w:b w:val="1"/>
                <w:bCs w:val="1"/>
                <w:color w:val="auto"/>
              </w:rPr>
              <w:t>September 30, 2026</w:t>
            </w:r>
          </w:p>
        </w:tc>
        <w:tc>
          <w:tcPr>
            <w:tcW w:w="1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6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520" w:type="dxa"/>
            <w:vAlign w:val="bottom"/>
          </w:tcPr>
          <w:p>
            <w:pPr>
              <w:spacing w:after="0"/>
              <w:rPr>
                <w:sz w:val="14"/>
                <w:szCs w:val="14"/>
                <w:color w:val="auto"/>
              </w:rPr>
            </w:pPr>
          </w:p>
        </w:tc>
        <w:tc>
          <w:tcPr>
            <w:tcW w:w="33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Insurance recoveries</w:t>
            </w:r>
          </w:p>
        </w:tc>
        <w:tc>
          <w:tcPr>
            <w:tcW w:w="1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31,472</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7,251</w:t>
            </w:r>
          </w:p>
        </w:tc>
        <w:tc>
          <w:tcPr>
            <w:tcW w:w="80" w:type="dxa"/>
            <w:vAlign w:val="bottom"/>
            <w:shd w:val="clear" w:color="auto" w:fill="CFF0FC"/>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4"/>
                <w:szCs w:val="14"/>
                <w:color w:val="auto"/>
              </w:rPr>
              <w:t>Interest rate swaps</w:t>
            </w: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27,425</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1,181</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33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Other investments</w:t>
            </w:r>
          </w:p>
        </w:tc>
        <w:tc>
          <w:tcPr>
            <w:tcW w:w="15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7,544</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7,481</w:t>
            </w:r>
          </w:p>
        </w:tc>
        <w:tc>
          <w:tcPr>
            <w:tcW w:w="80" w:type="dxa"/>
            <w:vAlign w:val="bottom"/>
            <w:shd w:val="clear" w:color="auto" w:fill="CFF0FC"/>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4"/>
                <w:szCs w:val="14"/>
                <w:color w:val="auto"/>
              </w:rPr>
              <w:t>Cloud computing</w:t>
            </w: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7,178</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6,017</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33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Deposits</w:t>
            </w:r>
          </w:p>
        </w:tc>
        <w:tc>
          <w:tcPr>
            <w:tcW w:w="15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5,749</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5,722</w:t>
            </w:r>
          </w:p>
        </w:tc>
        <w:tc>
          <w:tcPr>
            <w:tcW w:w="80" w:type="dxa"/>
            <w:vAlign w:val="bottom"/>
            <w:shd w:val="clear" w:color="auto" w:fill="CFF0FC"/>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4"/>
                <w:szCs w:val="14"/>
                <w:color w:val="auto"/>
              </w:rPr>
              <w:t>Deferred compensation</w:t>
            </w: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5,090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4,702</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33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Notes receivable</w:t>
            </w:r>
          </w:p>
        </w:tc>
        <w:tc>
          <w:tcPr>
            <w:tcW w:w="15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1,643</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4,012</w:t>
            </w:r>
          </w:p>
        </w:tc>
        <w:tc>
          <w:tcPr>
            <w:tcW w:w="80" w:type="dxa"/>
            <w:vAlign w:val="bottom"/>
            <w:shd w:val="clear" w:color="auto" w:fill="CFF0FC"/>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4"/>
                <w:szCs w:val="14"/>
                <w:color w:val="auto"/>
              </w:rPr>
              <w:t>Other assets</w:t>
            </w:r>
          </w:p>
        </w:tc>
        <w:tc>
          <w:tcPr>
            <w:tcW w:w="15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2,467</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3,346</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20" w:type="dxa"/>
            <w:vAlign w:val="bottom"/>
          </w:tcPr>
          <w:p>
            <w:pPr>
              <w:spacing w:after="0"/>
              <w:rPr>
                <w:sz w:val="17"/>
                <w:szCs w:val="17"/>
                <w:color w:val="auto"/>
              </w:rPr>
            </w:pPr>
          </w:p>
        </w:tc>
        <w:tc>
          <w:tcPr>
            <w:tcW w:w="33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 other assets</w:t>
            </w:r>
          </w:p>
        </w:tc>
        <w:tc>
          <w:tcPr>
            <w:tcW w:w="1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88,568</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39,712</w:t>
            </w:r>
          </w:p>
        </w:tc>
        <w:tc>
          <w:tcPr>
            <w:tcW w:w="80" w:type="dxa"/>
            <w:vAlign w:val="bottom"/>
            <w:shd w:val="clear" w:color="auto" w:fill="CFF0FC"/>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7"/>
        </w:trPr>
        <w:tc>
          <w:tcPr>
            <w:tcW w:w="520" w:type="dxa"/>
            <w:vAlign w:val="bottom"/>
          </w:tcPr>
          <w:p>
            <w:pPr>
              <w:spacing w:after="0"/>
              <w:rPr>
                <w:sz w:val="24"/>
                <w:szCs w:val="24"/>
                <w:color w:val="auto"/>
              </w:rPr>
            </w:pPr>
          </w:p>
        </w:tc>
        <w:tc>
          <w:tcPr>
            <w:tcW w:w="3380" w:type="dxa"/>
            <w:vAlign w:val="bottom"/>
            <w:tcBorders>
              <w:top w:val="single" w:sz="8" w:color="CFF0FC"/>
            </w:tcBorders>
          </w:tcPr>
          <w:p>
            <w:pPr>
              <w:spacing w:after="0"/>
              <w:rPr>
                <w:sz w:val="24"/>
                <w:szCs w:val="24"/>
                <w:color w:val="auto"/>
              </w:rPr>
            </w:pPr>
          </w:p>
        </w:tc>
        <w:tc>
          <w:tcPr>
            <w:tcW w:w="1540" w:type="dxa"/>
            <w:vAlign w:val="bottom"/>
            <w:tcBorders>
              <w:top w:val="single" w:sz="8" w:color="CFF0FC"/>
            </w:tcBorders>
          </w:tcPr>
          <w:p>
            <w:pPr>
              <w:jc w:val="right"/>
              <w:ind w:right="908"/>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4"/>
        </w:trPr>
        <w:tc>
          <w:tcPr>
            <w:tcW w:w="520" w:type="dxa"/>
            <w:vAlign w:val="bottom"/>
            <w:tcBorders>
              <w:bottom w:val="single" w:sz="8" w:color="9A9A9A"/>
            </w:tcBorders>
          </w:tcPr>
          <w:p>
            <w:pPr>
              <w:spacing w:after="0"/>
              <w:rPr>
                <w:sz w:val="24"/>
                <w:szCs w:val="24"/>
                <w:color w:val="auto"/>
              </w:rPr>
            </w:pPr>
          </w:p>
        </w:tc>
        <w:tc>
          <w:tcPr>
            <w:tcW w:w="338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5629910</wp:posOffset>
            </wp:positionH>
            <wp:positionV relativeFrom="paragraph">
              <wp:posOffset>-25400</wp:posOffset>
            </wp:positionV>
            <wp:extent cx="3238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58420</wp:posOffset>
            </wp:positionH>
            <wp:positionV relativeFrom="paragraph">
              <wp:posOffset>-25400</wp:posOffset>
            </wp:positionV>
            <wp:extent cx="3238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4339590</wp:posOffset>
            </wp:positionH>
            <wp:positionV relativeFrom="paragraph">
              <wp:posOffset>-2277110</wp:posOffset>
            </wp:positionV>
            <wp:extent cx="47625" cy="698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-2277110</wp:posOffset>
            </wp:positionV>
            <wp:extent cx="47625" cy="698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4339590</wp:posOffset>
            </wp:positionH>
            <wp:positionV relativeFrom="paragraph">
              <wp:posOffset>-742950</wp:posOffset>
            </wp:positionV>
            <wp:extent cx="47625" cy="698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4339590</wp:posOffset>
            </wp:positionH>
            <wp:positionV relativeFrom="paragraph">
              <wp:posOffset>-728980</wp:posOffset>
            </wp:positionV>
            <wp:extent cx="47625" cy="698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-742950</wp:posOffset>
            </wp:positionV>
            <wp:extent cx="47625" cy="698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-728980</wp:posOffset>
            </wp:positionV>
            <wp:extent cx="47625" cy="698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ectPr>
          <w:pgSz w:w="11900" w:h="16838" w:orient="portrait"/>
          <w:cols w:equalWidth="0" w:num="1">
            <w:col w:w="9019"/>
          </w:cols>
          <w:pgMar w:left="1440" w:top="1154" w:right="1440" w:bottom="1440" w:gutter="0" w:footer="0" w:header="0"/>
        </w:sectPr>
      </w:pPr>
    </w:p>
    <w:bookmarkStart w:id="23" w:name="page24"/>
    <w:bookmarkEnd w:id="23"/>
    <w:p>
      <w:pPr>
        <w:ind w:left="640"/>
        <w:spacing w:after="0"/>
        <w:rPr>
          <w:sz w:val="20"/>
          <w:szCs w:val="20"/>
          <w:color w:val="auto"/>
        </w:rPr>
      </w:pPr>
      <w:r>
        <w:rPr>
          <w:rFonts w:ascii="Times New Roman" w:cs="Times New Roman" w:eastAsia="Times New Roman" w:hAnsi="Times New Roman"/>
          <w:sz w:val="14"/>
          <w:szCs w:val="14"/>
          <w:color w:val="auto"/>
        </w:rPr>
        <w:t>Accrued expenses consist of the following (in thousands):</w:t>
      </w:r>
    </w:p>
    <w:p>
      <w:pPr>
        <w:spacing w:after="0" w:line="178" w:lineRule="exact"/>
        <w:rPr>
          <w:sz w:val="20"/>
          <w:szCs w:val="20"/>
          <w:color w:val="auto"/>
        </w:rPr>
      </w:pPr>
    </w:p>
    <w:tbl>
      <w:tblPr>
        <w:tblLayout w:type="fixed"/>
        <w:tblInd w:w="64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49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1"/>
                <w:szCs w:val="11"/>
                <w:b w:val="1"/>
                <w:bCs w:val="1"/>
                <w:color w:val="auto"/>
              </w:rPr>
              <w:t>September 30, 2026</w:t>
            </w:r>
          </w:p>
        </w:tc>
        <w:tc>
          <w:tcPr>
            <w:tcW w:w="1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80" w:type="dxa"/>
            <w:vAlign w:val="bottom"/>
          </w:tcPr>
          <w:p>
            <w:pPr>
              <w:spacing w:after="0"/>
              <w:rPr>
                <w:sz w:val="11"/>
                <w:szCs w:val="11"/>
                <w:color w:val="auto"/>
              </w:rPr>
            </w:pPr>
          </w:p>
        </w:tc>
      </w:tr>
      <w:tr>
        <w:trPr>
          <w:trHeight w:val="163"/>
        </w:trPr>
        <w:tc>
          <w:tcPr>
            <w:tcW w:w="20" w:type="dxa"/>
            <w:vAlign w:val="bottom"/>
          </w:tcPr>
          <w:p>
            <w:pPr>
              <w:spacing w:after="0"/>
              <w:rPr>
                <w:sz w:val="14"/>
                <w:szCs w:val="14"/>
                <w:color w:val="auto"/>
              </w:rPr>
            </w:pPr>
          </w:p>
        </w:tc>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Wages and payroll taxes</w:t>
            </w:r>
          </w:p>
        </w:tc>
        <w:tc>
          <w:tcPr>
            <w:tcW w:w="12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168,351</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131,162</w:t>
            </w:r>
          </w:p>
        </w:tc>
        <w:tc>
          <w:tcPr>
            <w:tcW w:w="8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4"/>
                <w:szCs w:val="14"/>
                <w:color w:val="auto"/>
              </w:rPr>
              <w:t>Compensated absences</w:t>
            </w:r>
          </w:p>
        </w:tc>
        <w:tc>
          <w:tcPr>
            <w:tcW w:w="1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34,824</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31,543</w:t>
            </w:r>
          </w:p>
        </w:tc>
        <w:tc>
          <w:tcPr>
            <w:tcW w:w="8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Health insurance reserves</w:t>
            </w:r>
          </w:p>
        </w:tc>
        <w:tc>
          <w:tcPr>
            <w:tcW w:w="12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28,403</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15,389</w:t>
            </w:r>
          </w:p>
        </w:tc>
        <w:tc>
          <w:tcPr>
            <w:tcW w:w="8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4"/>
                <w:szCs w:val="14"/>
                <w:color w:val="auto"/>
              </w:rPr>
              <w:t>Legal settlements and professional fees</w:t>
            </w:r>
          </w:p>
        </w:tc>
        <w:tc>
          <w:tcPr>
            <w:tcW w:w="1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22,756</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10,525</w:t>
            </w:r>
          </w:p>
        </w:tc>
        <w:tc>
          <w:tcPr>
            <w:tcW w:w="8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Checks in excess of cash balance</w:t>
            </w:r>
          </w:p>
        </w:tc>
        <w:tc>
          <w:tcPr>
            <w:tcW w:w="12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21,381</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34,824</w:t>
            </w:r>
          </w:p>
        </w:tc>
        <w:tc>
          <w:tcPr>
            <w:tcW w:w="8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4"/>
                <w:szCs w:val="14"/>
                <w:color w:val="auto"/>
              </w:rPr>
              <w:t>General and professional liability insurance reserves</w:t>
            </w:r>
          </w:p>
        </w:tc>
        <w:tc>
          <w:tcPr>
            <w:tcW w:w="1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20,013</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7,696</w:t>
            </w:r>
          </w:p>
        </w:tc>
        <w:tc>
          <w:tcPr>
            <w:tcW w:w="8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Workers compensation insurance reserves</w:t>
            </w:r>
          </w:p>
        </w:tc>
        <w:tc>
          <w:tcPr>
            <w:tcW w:w="12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17,579</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24,897</w:t>
            </w:r>
          </w:p>
        </w:tc>
        <w:tc>
          <w:tcPr>
            <w:tcW w:w="8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4"/>
                <w:szCs w:val="14"/>
                <w:color w:val="auto"/>
              </w:rPr>
              <w:t>Deferred revenue</w:t>
            </w:r>
          </w:p>
        </w:tc>
        <w:tc>
          <w:tcPr>
            <w:tcW w:w="1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11,044</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9,039</w:t>
            </w:r>
          </w:p>
        </w:tc>
        <w:tc>
          <w:tcPr>
            <w:tcW w:w="8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Automobile insurance reserves</w:t>
            </w:r>
          </w:p>
        </w:tc>
        <w:tc>
          <w:tcPr>
            <w:tcW w:w="12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6,488</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5,585</w:t>
            </w:r>
          </w:p>
        </w:tc>
        <w:tc>
          <w:tcPr>
            <w:tcW w:w="8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4"/>
                <w:szCs w:val="14"/>
                <w:color w:val="auto"/>
              </w:rPr>
              <w:t>Taxes other than income taxes</w:t>
            </w:r>
          </w:p>
        </w:tc>
        <w:tc>
          <w:tcPr>
            <w:tcW w:w="1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5,170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3,506</w:t>
            </w:r>
          </w:p>
        </w:tc>
        <w:tc>
          <w:tcPr>
            <w:tcW w:w="8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Property insurance reserves</w:t>
            </w:r>
          </w:p>
        </w:tc>
        <w:tc>
          <w:tcPr>
            <w:tcW w:w="12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3,038</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11,170</w:t>
            </w:r>
          </w:p>
        </w:tc>
        <w:tc>
          <w:tcPr>
            <w:tcW w:w="8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4"/>
                <w:szCs w:val="14"/>
                <w:color w:val="auto"/>
              </w:rPr>
              <w:t>Other</w:t>
            </w: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51,920</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47,688</w:t>
            </w:r>
          </w:p>
        </w:tc>
        <w:tc>
          <w:tcPr>
            <w:tcW w:w="80" w:type="dxa"/>
            <w:vAlign w:val="bottom"/>
          </w:tcPr>
          <w:p>
            <w:pPr>
              <w:spacing w:after="0"/>
              <w:rPr>
                <w:sz w:val="14"/>
                <w:szCs w:val="14"/>
                <w:color w:val="auto"/>
              </w:rPr>
            </w:pPr>
          </w:p>
        </w:tc>
      </w:tr>
      <w:tr>
        <w:trPr>
          <w:trHeight w:val="183"/>
        </w:trPr>
        <w:tc>
          <w:tcPr>
            <w:tcW w:w="20" w:type="dxa"/>
            <w:vAlign w:val="bottom"/>
          </w:tcPr>
          <w:p>
            <w:pPr>
              <w:spacing w:after="0"/>
              <w:rPr>
                <w:sz w:val="15"/>
                <w:szCs w:val="15"/>
                <w:color w:val="auto"/>
              </w:rPr>
            </w:pPr>
          </w:p>
        </w:tc>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 accrued expenses</w:t>
            </w:r>
          </w:p>
        </w:tc>
        <w:tc>
          <w:tcPr>
            <w:tcW w:w="12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390,967</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333,024</w:t>
            </w:r>
          </w:p>
        </w:tc>
        <w:tc>
          <w:tcPr>
            <w:tcW w:w="80" w:type="dxa"/>
            <w:vAlign w:val="bottom"/>
            <w:shd w:val="clear" w:color="auto" w:fill="CFF0FC"/>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r>
        <w:trPr>
          <w:trHeight w:val="315"/>
        </w:trPr>
        <w:tc>
          <w:tcPr>
            <w:tcW w:w="4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Long-term liabilities consist of the following (in thousands):</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12"/>
        </w:trPr>
        <w:tc>
          <w:tcPr>
            <w:tcW w:w="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1"/>
                <w:szCs w:val="11"/>
                <w:b w:val="1"/>
                <w:bCs w:val="1"/>
                <w:color w:val="auto"/>
              </w:rPr>
              <w:t>September 30, 2026</w:t>
            </w:r>
          </w:p>
        </w:tc>
        <w:tc>
          <w:tcPr>
            <w:tcW w:w="1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80" w:type="dxa"/>
            <w:vAlign w:val="bottom"/>
          </w:tcPr>
          <w:p>
            <w:pPr>
              <w:spacing w:after="0"/>
              <w:rPr>
                <w:sz w:val="24"/>
                <w:szCs w:val="24"/>
                <w:color w:val="auto"/>
              </w:rPr>
            </w:pPr>
          </w:p>
        </w:tc>
      </w:tr>
      <w:tr>
        <w:trPr>
          <w:trHeight w:val="163"/>
        </w:trPr>
        <w:tc>
          <w:tcPr>
            <w:tcW w:w="20" w:type="dxa"/>
            <w:vAlign w:val="bottom"/>
          </w:tcPr>
          <w:p>
            <w:pPr>
              <w:spacing w:after="0"/>
              <w:rPr>
                <w:sz w:val="14"/>
                <w:szCs w:val="14"/>
                <w:color w:val="auto"/>
              </w:rPr>
            </w:pPr>
          </w:p>
        </w:tc>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General and professional liability insurance reserves</w:t>
            </w:r>
          </w:p>
        </w:tc>
        <w:tc>
          <w:tcPr>
            <w:tcW w:w="12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28,687</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25,032</w:t>
            </w:r>
          </w:p>
        </w:tc>
        <w:tc>
          <w:tcPr>
            <w:tcW w:w="8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4"/>
                <w:szCs w:val="14"/>
                <w:color w:val="auto"/>
              </w:rPr>
              <w:t>Workers compensation insurance reserves</w:t>
            </w:r>
          </w:p>
        </w:tc>
        <w:tc>
          <w:tcPr>
            <w:tcW w:w="1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25,356</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25,369</w:t>
            </w:r>
          </w:p>
        </w:tc>
        <w:tc>
          <w:tcPr>
            <w:tcW w:w="8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Automobile insurance reserves</w:t>
            </w:r>
          </w:p>
        </w:tc>
        <w:tc>
          <w:tcPr>
            <w:tcW w:w="12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7,386</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9,849</w:t>
            </w:r>
          </w:p>
        </w:tc>
        <w:tc>
          <w:tcPr>
            <w:tcW w:w="8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4"/>
                <w:szCs w:val="14"/>
                <w:color w:val="auto"/>
              </w:rPr>
              <w:t>Deferred compensation</w:t>
            </w:r>
          </w:p>
        </w:tc>
        <w:tc>
          <w:tcPr>
            <w:tcW w:w="1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5,090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4,702</w:t>
            </w:r>
          </w:p>
        </w:tc>
        <w:tc>
          <w:tcPr>
            <w:tcW w:w="8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Other</w:t>
            </w:r>
          </w:p>
        </w:tc>
        <w:tc>
          <w:tcPr>
            <w:tcW w:w="120" w:type="dxa"/>
            <w:vAlign w:val="bottom"/>
            <w:tcBorders>
              <w:bottom w:val="single" w:sz="8" w:color="auto"/>
            </w:tcBorders>
            <w:shd w:val="clear" w:color="auto" w:fill="CFF0FC"/>
          </w:tcPr>
          <w:p>
            <w:pPr>
              <w:spacing w:after="0"/>
              <w:rPr>
                <w:sz w:val="14"/>
                <w:szCs w:val="14"/>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1,715</w:t>
            </w:r>
          </w:p>
        </w:tc>
        <w:tc>
          <w:tcPr>
            <w:tcW w:w="18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1,613</w:t>
            </w:r>
          </w:p>
        </w:tc>
        <w:tc>
          <w:tcPr>
            <w:tcW w:w="80" w:type="dxa"/>
            <w:vAlign w:val="bottom"/>
            <w:tcBorders>
              <w:bottom w:val="single" w:sz="8" w:color="CFF0FC"/>
            </w:tcBorders>
            <w:shd w:val="clear" w:color="auto" w:fill="CFF0FC"/>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4"/>
                <w:szCs w:val="14"/>
                <w:color w:val="auto"/>
              </w:rPr>
              <w:t>Total long-term liabilities</w:t>
            </w: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68,234</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66,565</w:t>
            </w:r>
          </w:p>
        </w:tc>
        <w:tc>
          <w:tcPr>
            <w:tcW w:w="8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4339590</wp:posOffset>
            </wp:positionH>
            <wp:positionV relativeFrom="paragraph">
              <wp:posOffset>-1124585</wp:posOffset>
            </wp:positionV>
            <wp:extent cx="47625" cy="698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4339590</wp:posOffset>
            </wp:positionH>
            <wp:positionV relativeFrom="paragraph">
              <wp:posOffset>-1110615</wp:posOffset>
            </wp:positionV>
            <wp:extent cx="47625" cy="698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-1124585</wp:posOffset>
            </wp:positionV>
            <wp:extent cx="47625" cy="698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-1110615</wp:posOffset>
            </wp:positionV>
            <wp:extent cx="47625" cy="698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4339590</wp:posOffset>
            </wp:positionH>
            <wp:positionV relativeFrom="paragraph">
              <wp:posOffset>-135890</wp:posOffset>
            </wp:positionV>
            <wp:extent cx="47625" cy="698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-135890</wp:posOffset>
            </wp:positionV>
            <wp:extent cx="47625" cy="698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3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10. Earnings Per Share (“EPS”)</w:t>
      </w:r>
    </w:p>
    <w:p>
      <w:pPr>
        <w:spacing w:after="0" w:line="185" w:lineRule="exact"/>
        <w:rPr>
          <w:sz w:val="20"/>
          <w:szCs w:val="20"/>
          <w:color w:val="auto"/>
        </w:rPr>
      </w:pPr>
    </w:p>
    <w:p>
      <w:pPr>
        <w:ind w:left="640" w:right="719"/>
        <w:spacing w:after="0" w:line="263" w:lineRule="auto"/>
        <w:rPr>
          <w:sz w:val="20"/>
          <w:szCs w:val="20"/>
          <w:color w:val="auto"/>
        </w:rPr>
      </w:pPr>
      <w:r>
        <w:rPr>
          <w:rFonts w:ascii="Times New Roman" w:cs="Times New Roman" w:eastAsia="Times New Roman" w:hAnsi="Times New Roman"/>
          <w:sz w:val="14"/>
          <w:szCs w:val="14"/>
          <w:color w:val="auto"/>
        </w:rPr>
        <w:t>Basic net income (loss) per share of common stock excludes dilution and is reported separately for continuing operations and discontinued operations. Basic net income (loss) per share of common stock for continuing operations and discontinued operations is calculated by dividing net income (loss) from continuing operations and discontinued operations attributable to common shareholders by the weighted average number of shares outstanding for the reporting period. Diluted net income per share of common stock is computed by giving effect to the weighted average of all potentially dilutive common stock. In periods of net loss, no potentially dilutive common shares are included in the diluted shares outstanding as the effect is anti-dilutive.</w:t>
      </w:r>
    </w:p>
    <w:p>
      <w:pPr>
        <w:spacing w:after="0" w:line="58" w:lineRule="exact"/>
        <w:rPr>
          <w:sz w:val="20"/>
          <w:szCs w:val="20"/>
          <w:color w:val="auto"/>
        </w:rPr>
      </w:pPr>
    </w:p>
    <w:p>
      <w:pPr>
        <w:ind w:left="640" w:right="939"/>
        <w:spacing w:after="0" w:line="292" w:lineRule="auto"/>
        <w:rPr>
          <w:sz w:val="20"/>
          <w:szCs w:val="20"/>
          <w:color w:val="auto"/>
        </w:rPr>
      </w:pPr>
      <w:r>
        <w:rPr>
          <w:rFonts w:ascii="Times New Roman" w:cs="Times New Roman" w:eastAsia="Times New Roman" w:hAnsi="Times New Roman"/>
          <w:sz w:val="14"/>
          <w:szCs w:val="14"/>
          <w:color w:val="auto"/>
        </w:rPr>
        <w:t>The number of additional shares of common stock related to restricted stock units (“RSUs”) and stock option awards is calculated using the treasury stock method, if dilutive.</w:t>
      </w:r>
    </w:p>
    <w:p>
      <w:pPr>
        <w:spacing w:after="0" w:line="38" w:lineRule="exact"/>
        <w:rPr>
          <w:sz w:val="20"/>
          <w:szCs w:val="20"/>
          <w:color w:val="auto"/>
        </w:rPr>
      </w:pPr>
    </w:p>
    <w:p>
      <w:pPr>
        <w:ind w:left="640" w:right="699"/>
        <w:spacing w:after="0" w:line="268" w:lineRule="auto"/>
        <w:rPr>
          <w:sz w:val="20"/>
          <w:szCs w:val="20"/>
          <w:color w:val="auto"/>
        </w:rPr>
      </w:pPr>
      <w:r>
        <w:rPr>
          <w:rFonts w:ascii="Times New Roman" w:cs="Times New Roman" w:eastAsia="Times New Roman" w:hAnsi="Times New Roman"/>
          <w:sz w:val="14"/>
          <w:szCs w:val="14"/>
          <w:color w:val="auto"/>
        </w:rPr>
        <w:t>For the three and nine months ended September 30, 2026 and 2025, the TEUs were assumed to be outstanding at the minimum settlement amount for weighted-average shares for basic EPS. For the three and nine months ended September 30, 2026 and 2025, the Company’s average applicable market value was greater than $15.28, resulting in no dilutive impact to EPS for TEUs. See Note 7 for further discussion of TEUs.</w:t>
      </w:r>
    </w:p>
    <w:p>
      <w:pPr>
        <w:spacing w:after="0" w:line="54" w:lineRule="exact"/>
        <w:rPr>
          <w:sz w:val="20"/>
          <w:szCs w:val="20"/>
          <w:color w:val="auto"/>
        </w:rPr>
      </w:pPr>
    </w:p>
    <w:p>
      <w:pPr>
        <w:ind w:left="640" w:right="659"/>
        <w:spacing w:after="0" w:line="292" w:lineRule="auto"/>
        <w:rPr>
          <w:sz w:val="20"/>
          <w:szCs w:val="20"/>
          <w:color w:val="auto"/>
        </w:rPr>
      </w:pPr>
      <w:r>
        <w:rPr>
          <w:rFonts w:ascii="Times New Roman" w:cs="Times New Roman" w:eastAsia="Times New Roman" w:hAnsi="Times New Roman"/>
          <w:sz w:val="14"/>
          <w:szCs w:val="14"/>
          <w:color w:val="auto"/>
        </w:rPr>
        <w:t>The following table sets forth the computation of basic and diluted net income (loss) per share attributable to common shareholders (in thousands, except per share amounts):</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70" w:right="1440" w:bottom="1440" w:gutter="0" w:footer="0" w:header="0"/>
        </w:sectPr>
      </w:pPr>
    </w:p>
    <w:bookmarkStart w:id="24" w:name="page25"/>
    <w:bookmarkEnd w:id="24"/>
    <w:tbl>
      <w:tblPr>
        <w:tblLayout w:type="fixed"/>
        <w:tblInd w:w="64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4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60" w:type="dxa"/>
            <w:vAlign w:val="bottom"/>
            <w:gridSpan w:val="5"/>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For the Three Months Ended</w:t>
            </w:r>
          </w:p>
        </w:tc>
        <w:tc>
          <w:tcPr>
            <w:tcW w:w="80" w:type="dxa"/>
            <w:vAlign w:val="bottom"/>
          </w:tcPr>
          <w:p>
            <w:pPr>
              <w:spacing w:after="0"/>
              <w:rPr>
                <w:sz w:val="11"/>
                <w:szCs w:val="11"/>
                <w:color w:val="auto"/>
              </w:rPr>
            </w:pPr>
          </w:p>
        </w:tc>
        <w:tc>
          <w:tcPr>
            <w:tcW w:w="1540" w:type="dxa"/>
            <w:vAlign w:val="bottom"/>
            <w:gridSpan w:val="5"/>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rPr>
              <w:t>For the Nine Months Ended</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4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gridSpan w:val="5"/>
          </w:tcPr>
          <w:p>
            <w:pPr>
              <w:jc w:val="right"/>
              <w:ind w:right="500"/>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4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top w:val="single" w:sz="8" w:color="auto"/>
              <w:bottom w:val="single" w:sz="8" w:color="auto"/>
            </w:tcBorders>
          </w:tcPr>
          <w:p>
            <w:pPr>
              <w:spacing w:after="0"/>
              <w:rPr>
                <w:sz w:val="9"/>
                <w:szCs w:val="9"/>
                <w:color w:val="auto"/>
              </w:rPr>
            </w:pPr>
          </w:p>
        </w:tc>
        <w:tc>
          <w:tcPr>
            <w:tcW w:w="720" w:type="dxa"/>
            <w:vAlign w:val="bottom"/>
            <w:tcBorders>
              <w:top w:val="single" w:sz="8" w:color="auto"/>
              <w:bottom w:val="single" w:sz="8" w:color="auto"/>
            </w:tcBorders>
          </w:tcPr>
          <w:p>
            <w:pPr>
              <w:jc w:val="right"/>
              <w:ind w:right="231"/>
              <w:spacing w:after="0" w:line="109" w:lineRule="exact"/>
              <w:rPr>
                <w:sz w:val="20"/>
                <w:szCs w:val="20"/>
                <w:color w:val="auto"/>
              </w:rPr>
            </w:pPr>
            <w:r>
              <w:rPr>
                <w:rFonts w:ascii="Times New Roman" w:cs="Times New Roman" w:eastAsia="Times New Roman" w:hAnsi="Times New Roman"/>
                <w:sz w:val="11"/>
                <w:szCs w:val="11"/>
                <w:b w:val="1"/>
                <w:bCs w:val="1"/>
                <w:color w:val="auto"/>
              </w:rPr>
              <w:t>2026</w:t>
            </w:r>
          </w:p>
        </w:tc>
        <w:tc>
          <w:tcPr>
            <w:tcW w:w="160" w:type="dxa"/>
            <w:vAlign w:val="bottom"/>
            <w:tcBorders>
              <w:top w:val="single" w:sz="8" w:color="auto"/>
            </w:tcBorders>
          </w:tcPr>
          <w:p>
            <w:pPr>
              <w:spacing w:after="0"/>
              <w:rPr>
                <w:sz w:val="9"/>
                <w:szCs w:val="9"/>
                <w:color w:val="auto"/>
              </w:rPr>
            </w:pPr>
          </w:p>
        </w:tc>
        <w:tc>
          <w:tcPr>
            <w:tcW w:w="220" w:type="dxa"/>
            <w:vAlign w:val="bottom"/>
            <w:tcBorders>
              <w:top w:val="single" w:sz="8" w:color="auto"/>
              <w:bottom w:val="single" w:sz="8" w:color="auto"/>
            </w:tcBorders>
          </w:tcPr>
          <w:p>
            <w:pPr>
              <w:spacing w:after="0"/>
              <w:rPr>
                <w:sz w:val="9"/>
                <w:szCs w:val="9"/>
                <w:color w:val="auto"/>
              </w:rPr>
            </w:pPr>
          </w:p>
        </w:tc>
        <w:tc>
          <w:tcPr>
            <w:tcW w:w="500" w:type="dxa"/>
            <w:vAlign w:val="bottom"/>
            <w:tcBorders>
              <w:top w:val="single" w:sz="8" w:color="auto"/>
              <w:bottom w:val="single" w:sz="8" w:color="auto"/>
            </w:tcBorders>
          </w:tcPr>
          <w:p>
            <w:pPr>
              <w:jc w:val="right"/>
              <w:ind w:right="169"/>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160" w:type="dxa"/>
            <w:vAlign w:val="bottom"/>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680" w:type="dxa"/>
            <w:vAlign w:val="bottom"/>
            <w:tcBorders>
              <w:top w:val="single" w:sz="8" w:color="auto"/>
              <w:bottom w:val="single" w:sz="8" w:color="auto"/>
            </w:tcBorders>
          </w:tcPr>
          <w:p>
            <w:pPr>
              <w:jc w:val="right"/>
              <w:ind w:right="211"/>
              <w:spacing w:after="0" w:line="109" w:lineRule="exact"/>
              <w:rPr>
                <w:sz w:val="20"/>
                <w:szCs w:val="20"/>
                <w:color w:val="auto"/>
              </w:rPr>
            </w:pPr>
            <w:r>
              <w:rPr>
                <w:rFonts w:ascii="Times New Roman" w:cs="Times New Roman" w:eastAsia="Times New Roman" w:hAnsi="Times New Roman"/>
                <w:sz w:val="11"/>
                <w:szCs w:val="11"/>
                <w:b w:val="1"/>
                <w:bCs w:val="1"/>
                <w:color w:val="auto"/>
              </w:rPr>
              <w:t>2026</w:t>
            </w:r>
          </w:p>
        </w:tc>
        <w:tc>
          <w:tcPr>
            <w:tcW w:w="140" w:type="dxa"/>
            <w:vAlign w:val="bottom"/>
            <w:tcBorders>
              <w:top w:val="single" w:sz="8" w:color="auto"/>
            </w:tcBorders>
          </w:tcPr>
          <w:p>
            <w:pPr>
              <w:spacing w:after="0"/>
              <w:rPr>
                <w:sz w:val="9"/>
                <w:szCs w:val="9"/>
                <w:color w:val="auto"/>
              </w:rPr>
            </w:pPr>
          </w:p>
        </w:tc>
        <w:tc>
          <w:tcPr>
            <w:tcW w:w="120" w:type="dxa"/>
            <w:vAlign w:val="bottom"/>
            <w:tcBorders>
              <w:top w:val="single" w:sz="8" w:color="auto"/>
              <w:bottom w:val="single" w:sz="8" w:color="auto"/>
            </w:tcBorders>
          </w:tcPr>
          <w:p>
            <w:pPr>
              <w:spacing w:after="0"/>
              <w:rPr>
                <w:sz w:val="9"/>
                <w:szCs w:val="9"/>
                <w:color w:val="auto"/>
              </w:rPr>
            </w:pPr>
          </w:p>
        </w:tc>
        <w:tc>
          <w:tcPr>
            <w:tcW w:w="520" w:type="dxa"/>
            <w:vAlign w:val="bottom"/>
            <w:tcBorders>
              <w:top w:val="single" w:sz="8" w:color="auto"/>
              <w:bottom w:val="single" w:sz="8" w:color="auto"/>
            </w:tcBorders>
          </w:tcPr>
          <w:p>
            <w:pPr>
              <w:jc w:val="right"/>
              <w:ind w:right="149"/>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i w:val="1"/>
                <w:iCs w:val="1"/>
                <w:color w:val="auto"/>
              </w:rPr>
              <w:t>Numerator:</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60" w:type="dxa"/>
            <w:vAlign w:val="bottom"/>
            <w:tcBorders>
              <w:right w:val="single" w:sz="8" w:color="CFF0FC"/>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60" w:type="dxa"/>
            <w:vAlign w:val="bottom"/>
            <w:tcBorders>
              <w:righ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1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income from continuing operations</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100,802</w:t>
            </w:r>
          </w:p>
        </w:tc>
        <w:tc>
          <w:tcPr>
            <w:tcW w:w="160" w:type="dxa"/>
            <w:vAlign w:val="bottom"/>
          </w:tcPr>
          <w:p>
            <w:pPr>
              <w:spacing w:after="0"/>
              <w:rPr>
                <w:sz w:val="14"/>
                <w:szCs w:val="14"/>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37,488</w:t>
            </w:r>
          </w:p>
        </w:tc>
        <w:tc>
          <w:tcPr>
            <w:tcW w:w="1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261,689</w:t>
            </w:r>
          </w:p>
        </w:tc>
        <w:tc>
          <w:tcPr>
            <w:tcW w:w="1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55,245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1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Less: Net income (loss) attributable to noncontrolling interests</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160" w:type="dxa"/>
            <w:vAlign w:val="bottom"/>
            <w:tcBorders>
              <w:right w:val="single" w:sz="8" w:color="CFF0FC"/>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60" w:type="dxa"/>
            <w:vAlign w:val="bottom"/>
            <w:tcBorders>
              <w:right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(595)</w:t>
            </w:r>
          </w:p>
        </w:tc>
        <w:tc>
          <w:tcPr>
            <w:tcW w:w="8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(77)</w:t>
            </w:r>
          </w:p>
        </w:tc>
        <w:tc>
          <w:tcPr>
            <w:tcW w:w="12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(1,793)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20" w:type="dxa"/>
            <w:vAlign w:val="bottom"/>
            <w:tcBorders>
              <w:top w:val="single" w:sz="8" w:color="CFF0FC"/>
            </w:tcBorders>
          </w:tcPr>
          <w:p>
            <w:pPr>
              <w:ind w:left="120"/>
              <w:spacing w:after="0" w:line="148" w:lineRule="exact"/>
              <w:rPr>
                <w:sz w:val="20"/>
                <w:szCs w:val="20"/>
                <w:color w:val="auto"/>
              </w:rPr>
            </w:pPr>
            <w:r>
              <w:rPr>
                <w:rFonts w:ascii="Times New Roman" w:cs="Times New Roman" w:eastAsia="Times New Roman" w:hAnsi="Times New Roman"/>
                <w:sz w:val="14"/>
                <w:szCs w:val="14"/>
                <w:color w:val="auto"/>
              </w:rPr>
              <w:t>Net income from continuing operations attributable to common</w:t>
            </w:r>
          </w:p>
        </w:tc>
        <w:tc>
          <w:tcPr>
            <w:tcW w:w="12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60" w:type="dxa"/>
            <w:vAlign w:val="bottom"/>
            <w:tcBorders>
              <w:top w:val="single" w:sz="8" w:color="CFF0FC"/>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60" w:type="dxa"/>
            <w:vAlign w:val="bottom"/>
            <w:tcBorders>
              <w:top w:val="single" w:sz="8" w:color="CFF0FC"/>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40" w:type="dxa"/>
            <w:vAlign w:val="bottom"/>
            <w:tcBorders>
              <w:top w:val="single" w:sz="8" w:color="CFF0FC"/>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8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1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shareholders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100,641</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38,083</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261,766</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57,038</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1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Net (loss) income from discontinued operations</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(503)</w:t>
            </w:r>
          </w:p>
        </w:tc>
        <w:tc>
          <w:tcPr>
            <w:tcW w:w="22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17,753</w:t>
            </w:r>
          </w:p>
        </w:tc>
        <w:tc>
          <w:tcPr>
            <w:tcW w:w="160" w:type="dxa"/>
            <w:vAlign w:val="bottom"/>
            <w:tcBorders>
              <w:righ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71,429</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56,548</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Borders>
              <w:right w:val="single" w:sz="8" w:color="CFF0FC"/>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Borders>
              <w:right w:val="single" w:sz="8" w:color="CFF0FC"/>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41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income attributable to common shareholders</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100,138</w:t>
            </w:r>
          </w:p>
        </w:tc>
        <w:tc>
          <w:tcPr>
            <w:tcW w:w="160" w:type="dxa"/>
            <w:vAlign w:val="bottom"/>
          </w:tcPr>
          <w:p>
            <w:pPr>
              <w:spacing w:after="0"/>
              <w:rPr>
                <w:sz w:val="14"/>
                <w:szCs w:val="14"/>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55,836</w:t>
            </w:r>
          </w:p>
        </w:tc>
        <w:tc>
          <w:tcPr>
            <w:tcW w:w="1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333,195</w:t>
            </w:r>
          </w:p>
        </w:tc>
        <w:tc>
          <w:tcPr>
            <w:tcW w:w="1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113,586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vMerge w:val="restart"/>
          </w:tcPr>
          <w:p>
            <w:pPr>
              <w:spacing w:after="0"/>
              <w:rPr>
                <w:sz w:val="12"/>
                <w:szCs w:val="12"/>
                <w:color w:val="auto"/>
              </w:rPr>
            </w:pPr>
          </w:p>
        </w:tc>
        <w:tc>
          <w:tcPr>
            <w:tcW w:w="4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60" w:type="dxa"/>
            <w:vAlign w:val="bottom"/>
            <w:tcBorders>
              <w:right w:val="single" w:sz="8" w:color="CFF0FC"/>
            </w:tcBorders>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6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Denominator:</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Weighted-average shares outstanding - basic</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207,022</w:t>
            </w:r>
          </w:p>
        </w:tc>
        <w:tc>
          <w:tcPr>
            <w:tcW w:w="160" w:type="dxa"/>
            <w:vAlign w:val="bottom"/>
            <w:tcBorders>
              <w:bottom w:val="single" w:sz="8" w:color="CFF0FC"/>
              <w:right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203,487</w:t>
            </w:r>
          </w:p>
        </w:tc>
        <w:tc>
          <w:tcPr>
            <w:tcW w:w="160" w:type="dxa"/>
            <w:vAlign w:val="bottom"/>
            <w:tcBorders>
              <w:bottom w:val="single" w:sz="8" w:color="CFF0FC"/>
              <w:right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205,934</w:t>
            </w:r>
          </w:p>
        </w:tc>
        <w:tc>
          <w:tcPr>
            <w:tcW w:w="1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202,067</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1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Effect of dilutive securities:</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60" w:type="dxa"/>
            <w:vAlign w:val="bottom"/>
            <w:tcBorders>
              <w:right w:val="single" w:sz="8" w:color="CFF0FC"/>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60" w:type="dxa"/>
            <w:vAlign w:val="bottom"/>
            <w:tcBorders>
              <w:righ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1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Stock options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7,950</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7,835</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8,950</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8,387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1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RSUs</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5,254</w:t>
            </w:r>
          </w:p>
        </w:tc>
        <w:tc>
          <w:tcPr>
            <w:tcW w:w="160" w:type="dxa"/>
            <w:vAlign w:val="bottom"/>
            <w:tcBorders>
              <w:right w:val="single" w:sz="8" w:color="CFF0FC"/>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6,660</w:t>
            </w:r>
          </w:p>
        </w:tc>
        <w:tc>
          <w:tcPr>
            <w:tcW w:w="160" w:type="dxa"/>
            <w:vAlign w:val="bottom"/>
            <w:tcBorders>
              <w:righ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6,088</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8,065</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1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TEUs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tcBorders>
              <w:top w:val="single" w:sz="8" w:color="CFF0FC"/>
              <w:bottom w:val="single" w:sz="8" w:color="CFF0FC"/>
            </w:tcBorders>
            <w:shd w:val="clear" w:color="auto" w:fill="CFF0FC"/>
          </w:tcPr>
          <w:p>
            <w:pPr>
              <w:ind w:left="400"/>
              <w:spacing w:after="0"/>
              <w:rPr>
                <w:sz w:val="20"/>
                <w:szCs w:val="20"/>
                <w:color w:val="auto"/>
              </w:rPr>
            </w:pPr>
            <w:r>
              <w:rPr>
                <w:rFonts w:ascii="Times New Roman" w:cs="Times New Roman" w:eastAsia="Times New Roman" w:hAnsi="Times New Roman"/>
                <w:sz w:val="14"/>
                <w:szCs w:val="14"/>
                <w:color w:val="auto"/>
              </w:rPr>
              <w:t>Weighted-average shares outstanding - diluted</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spacing w:after="0"/>
              <w:rPr>
                <w:sz w:val="17"/>
                <w:szCs w:val="17"/>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220,226</w:t>
            </w:r>
          </w:p>
        </w:tc>
        <w:tc>
          <w:tcPr>
            <w:tcW w:w="160" w:type="dxa"/>
            <w:vAlign w:val="bottom"/>
            <w:tcBorders>
              <w:top w:val="single" w:sz="8" w:color="CFF0FC"/>
              <w:bottom w:val="single" w:sz="8" w:color="CFF0FC"/>
              <w:right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auto"/>
            </w:tcBorders>
            <w:shd w:val="clear" w:color="auto" w:fill="CFF0FC"/>
          </w:tcPr>
          <w:p>
            <w:pPr>
              <w:spacing w:after="0"/>
              <w:rPr>
                <w:sz w:val="17"/>
                <w:szCs w:val="17"/>
                <w:color w:val="auto"/>
              </w:rPr>
            </w:pP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217,982</w:t>
            </w:r>
          </w:p>
        </w:tc>
        <w:tc>
          <w:tcPr>
            <w:tcW w:w="160" w:type="dxa"/>
            <w:vAlign w:val="bottom"/>
            <w:tcBorders>
              <w:top w:val="single" w:sz="8" w:color="CFF0FC"/>
              <w:bottom w:val="single" w:sz="8" w:color="CFF0FC"/>
              <w:right w:val="single" w:sz="8" w:color="CFF0FC"/>
            </w:tcBorders>
            <w:shd w:val="clear" w:color="auto" w:fill="CFF0FC"/>
          </w:tcPr>
          <w:p>
            <w:pPr>
              <w:spacing w:after="0"/>
              <w:rPr>
                <w:sz w:val="17"/>
                <w:szCs w:val="17"/>
                <w:color w:val="auto"/>
              </w:rPr>
            </w:pPr>
          </w:p>
        </w:tc>
        <w:tc>
          <w:tcPr>
            <w:tcW w:w="80" w:type="dxa"/>
            <w:vAlign w:val="bottom"/>
            <w:tcBorders>
              <w:top w:val="single" w:sz="8" w:color="auto"/>
              <w:bottom w:val="single" w:sz="8" w:color="auto"/>
            </w:tcBorders>
            <w:shd w:val="clear" w:color="auto" w:fill="CFF0FC"/>
          </w:tcPr>
          <w:p>
            <w:pPr>
              <w:spacing w:after="0"/>
              <w:rPr>
                <w:sz w:val="17"/>
                <w:szCs w:val="17"/>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220,972</w:t>
            </w:r>
          </w:p>
        </w:tc>
        <w:tc>
          <w:tcPr>
            <w:tcW w:w="14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spacing w:after="0"/>
              <w:rPr>
                <w:sz w:val="17"/>
                <w:szCs w:val="17"/>
                <w:color w:val="auto"/>
              </w:rPr>
            </w:pP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218,519</w:t>
            </w: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4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i w:val="1"/>
                <w:iCs w:val="1"/>
                <w:color w:val="auto"/>
              </w:rPr>
              <w:t>Basic income (loss) per share attributable to common shareholders:</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60" w:type="dxa"/>
            <w:vAlign w:val="bottom"/>
            <w:tcBorders>
              <w:right w:val="single" w:sz="8" w:color="CFF0FC"/>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60" w:type="dxa"/>
            <w:vAlign w:val="bottom"/>
            <w:tcBorders>
              <w:righ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1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Continuing operations</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0.49</w:t>
            </w:r>
          </w:p>
        </w:tc>
        <w:tc>
          <w:tcPr>
            <w:tcW w:w="160" w:type="dxa"/>
            <w:vAlign w:val="bottom"/>
          </w:tcPr>
          <w:p>
            <w:pPr>
              <w:spacing w:after="0"/>
              <w:rPr>
                <w:sz w:val="14"/>
                <w:szCs w:val="14"/>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0.19</w:t>
            </w:r>
          </w:p>
        </w:tc>
        <w:tc>
          <w:tcPr>
            <w:tcW w:w="1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1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1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Discontinued operations</w:t>
            </w:r>
          </w:p>
        </w:tc>
        <w:tc>
          <w:tcPr>
            <w:tcW w:w="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(0.01)</w:t>
            </w:r>
          </w:p>
        </w:tc>
        <w:tc>
          <w:tcPr>
            <w:tcW w:w="2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0.08</w:t>
            </w:r>
          </w:p>
        </w:tc>
        <w:tc>
          <w:tcPr>
            <w:tcW w:w="160" w:type="dxa"/>
            <w:vAlign w:val="bottom"/>
            <w:tcBorders>
              <w:right w:val="single" w:sz="8" w:color="CFF0FC"/>
            </w:tcBorders>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0.35</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0.28</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Borders>
              <w:right w:val="single" w:sz="8" w:color="CFF0FC"/>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Borders>
              <w:right w:val="single" w:sz="8" w:color="CFF0FC"/>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41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income per share</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0.48</w:t>
            </w:r>
          </w:p>
        </w:tc>
        <w:tc>
          <w:tcPr>
            <w:tcW w:w="160" w:type="dxa"/>
            <w:vAlign w:val="bottom"/>
          </w:tcPr>
          <w:p>
            <w:pPr>
              <w:spacing w:after="0"/>
              <w:rPr>
                <w:sz w:val="14"/>
                <w:szCs w:val="14"/>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0.27</w:t>
            </w:r>
          </w:p>
        </w:tc>
        <w:tc>
          <w:tcPr>
            <w:tcW w:w="1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1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vMerge w:val="restart"/>
          </w:tcPr>
          <w:p>
            <w:pPr>
              <w:spacing w:after="0"/>
              <w:rPr>
                <w:sz w:val="12"/>
                <w:szCs w:val="12"/>
                <w:color w:val="auto"/>
              </w:rPr>
            </w:pPr>
          </w:p>
        </w:tc>
        <w:tc>
          <w:tcPr>
            <w:tcW w:w="4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60" w:type="dxa"/>
            <w:vAlign w:val="bottom"/>
            <w:tcBorders>
              <w:right w:val="single" w:sz="8" w:color="CFF0FC"/>
            </w:tcBorders>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6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Diluted income (loss) per share attributable to common shareholders: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1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Continuing operations</w:t>
            </w:r>
          </w:p>
        </w:tc>
        <w:tc>
          <w:tcPr>
            <w:tcW w:w="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0.46</w:t>
            </w:r>
          </w:p>
        </w:tc>
        <w:tc>
          <w:tcPr>
            <w:tcW w:w="160" w:type="dxa"/>
            <w:vAlign w:val="bottom"/>
            <w:tcBorders>
              <w:right w:val="single" w:sz="8" w:color="CFF0FC"/>
            </w:tcBorders>
            <w:shd w:val="clear" w:color="auto" w:fill="CFF0FC"/>
          </w:tcPr>
          <w:p>
            <w:pPr>
              <w:spacing w:after="0"/>
              <w:rPr>
                <w:sz w:val="14"/>
                <w:szCs w:val="14"/>
                <w:color w:val="auto"/>
              </w:rPr>
            </w:pPr>
          </w:p>
        </w:tc>
        <w:tc>
          <w:tcPr>
            <w:tcW w:w="2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0.17</w:t>
            </w:r>
          </w:p>
        </w:tc>
        <w:tc>
          <w:tcPr>
            <w:tcW w:w="160" w:type="dxa"/>
            <w:vAlign w:val="bottom"/>
            <w:tcBorders>
              <w:right w:val="single" w:sz="8" w:color="CFF0FC"/>
            </w:tcBorders>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0.26</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1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Discontinued operations</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(0.01)</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0.09</w:t>
            </w:r>
          </w:p>
        </w:tc>
        <w:tc>
          <w:tcPr>
            <w:tcW w:w="1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0.33</w:t>
            </w:r>
          </w:p>
        </w:tc>
        <w:tc>
          <w:tcPr>
            <w:tcW w:w="1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41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Net income per share</w:t>
            </w:r>
          </w:p>
        </w:tc>
        <w:tc>
          <w:tcPr>
            <w:tcW w:w="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0.45</w:t>
            </w:r>
          </w:p>
        </w:tc>
        <w:tc>
          <w:tcPr>
            <w:tcW w:w="160" w:type="dxa"/>
            <w:vAlign w:val="bottom"/>
            <w:tcBorders>
              <w:right w:val="single" w:sz="8" w:color="CFF0FC"/>
            </w:tcBorders>
            <w:shd w:val="clear" w:color="auto" w:fill="CFF0FC"/>
          </w:tcPr>
          <w:p>
            <w:pPr>
              <w:spacing w:after="0"/>
              <w:rPr>
                <w:sz w:val="15"/>
                <w:szCs w:val="15"/>
                <w:color w:val="auto"/>
              </w:rPr>
            </w:pPr>
          </w:p>
        </w:tc>
        <w:tc>
          <w:tcPr>
            <w:tcW w:w="2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0.26</w:t>
            </w:r>
          </w:p>
        </w:tc>
        <w:tc>
          <w:tcPr>
            <w:tcW w:w="160" w:type="dxa"/>
            <w:vAlign w:val="bottom"/>
            <w:tcBorders>
              <w:right w:val="single" w:sz="8" w:color="CFF0FC"/>
            </w:tcBorders>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0.52</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-2645410</wp:posOffset>
            </wp:positionV>
            <wp:extent cx="47625" cy="698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-2645410</wp:posOffset>
            </wp:positionV>
            <wp:extent cx="47625" cy="698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4769485</wp:posOffset>
            </wp:positionH>
            <wp:positionV relativeFrom="paragraph">
              <wp:posOffset>-2645410</wp:posOffset>
            </wp:positionV>
            <wp:extent cx="47625" cy="698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-2645410</wp:posOffset>
            </wp:positionV>
            <wp:extent cx="47625" cy="698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-2311400</wp:posOffset>
            </wp:positionV>
            <wp:extent cx="47625" cy="698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-2311400</wp:posOffset>
            </wp:positionV>
            <wp:extent cx="47625" cy="698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4769485</wp:posOffset>
            </wp:positionH>
            <wp:positionV relativeFrom="paragraph">
              <wp:posOffset>-2311400</wp:posOffset>
            </wp:positionV>
            <wp:extent cx="47625" cy="698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-2311400</wp:posOffset>
            </wp:positionV>
            <wp:extent cx="47625" cy="698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-1847215</wp:posOffset>
            </wp:positionV>
            <wp:extent cx="47625" cy="698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-1833880</wp:posOffset>
            </wp:positionV>
            <wp:extent cx="47625" cy="698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-1847215</wp:posOffset>
            </wp:positionV>
            <wp:extent cx="47625" cy="698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-1833880</wp:posOffset>
            </wp:positionV>
            <wp:extent cx="47625" cy="698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4769485</wp:posOffset>
            </wp:positionH>
            <wp:positionV relativeFrom="paragraph">
              <wp:posOffset>-1847215</wp:posOffset>
            </wp:positionV>
            <wp:extent cx="47625" cy="698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4769485</wp:posOffset>
            </wp:positionH>
            <wp:positionV relativeFrom="paragraph">
              <wp:posOffset>-1833880</wp:posOffset>
            </wp:positionV>
            <wp:extent cx="47625" cy="698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-1847215</wp:posOffset>
            </wp:positionV>
            <wp:extent cx="47625" cy="698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-1833880</wp:posOffset>
            </wp:positionV>
            <wp:extent cx="47625" cy="698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-1165225</wp:posOffset>
            </wp:positionV>
            <wp:extent cx="47625" cy="698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-1151890</wp:posOffset>
            </wp:positionV>
            <wp:extent cx="47625" cy="698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-1281430</wp:posOffset>
            </wp:positionV>
            <wp:extent cx="47625" cy="698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-1165225</wp:posOffset>
            </wp:positionV>
            <wp:extent cx="47625" cy="698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-1151890</wp:posOffset>
            </wp:positionV>
            <wp:extent cx="47625" cy="698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-1281430</wp:posOffset>
            </wp:positionV>
            <wp:extent cx="47625" cy="698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4769485</wp:posOffset>
            </wp:positionH>
            <wp:positionV relativeFrom="paragraph">
              <wp:posOffset>-1165225</wp:posOffset>
            </wp:positionV>
            <wp:extent cx="47625" cy="698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4769485</wp:posOffset>
            </wp:positionH>
            <wp:positionV relativeFrom="paragraph">
              <wp:posOffset>-1151890</wp:posOffset>
            </wp:positionV>
            <wp:extent cx="47625" cy="698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4769485</wp:posOffset>
            </wp:positionH>
            <wp:positionV relativeFrom="paragraph">
              <wp:posOffset>-1281430</wp:posOffset>
            </wp:positionV>
            <wp:extent cx="47625" cy="698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-1165225</wp:posOffset>
            </wp:positionV>
            <wp:extent cx="47625" cy="698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-1151890</wp:posOffset>
            </wp:positionV>
            <wp:extent cx="47625" cy="698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-1281430</wp:posOffset>
            </wp:positionV>
            <wp:extent cx="47625" cy="698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-708660</wp:posOffset>
            </wp:positionV>
            <wp:extent cx="47625" cy="698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-708660</wp:posOffset>
            </wp:positionV>
            <wp:extent cx="47625" cy="698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4769485</wp:posOffset>
            </wp:positionH>
            <wp:positionV relativeFrom="paragraph">
              <wp:posOffset>-708660</wp:posOffset>
            </wp:positionV>
            <wp:extent cx="47625" cy="698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-708660</wp:posOffset>
            </wp:positionV>
            <wp:extent cx="47625" cy="698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-19685</wp:posOffset>
            </wp:positionV>
            <wp:extent cx="47625" cy="698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-6350</wp:posOffset>
            </wp:positionV>
            <wp:extent cx="47625" cy="698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-19685</wp:posOffset>
            </wp:positionV>
            <wp:extent cx="47625" cy="698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-6350</wp:posOffset>
            </wp:positionV>
            <wp:extent cx="47625" cy="698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4769485</wp:posOffset>
            </wp:positionH>
            <wp:positionV relativeFrom="paragraph">
              <wp:posOffset>-19685</wp:posOffset>
            </wp:positionV>
            <wp:extent cx="47625" cy="698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4769485</wp:posOffset>
            </wp:positionH>
            <wp:positionV relativeFrom="paragraph">
              <wp:posOffset>-6350</wp:posOffset>
            </wp:positionV>
            <wp:extent cx="47625" cy="698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-19685</wp:posOffset>
            </wp:positionV>
            <wp:extent cx="47625" cy="698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-6350</wp:posOffset>
            </wp:positionV>
            <wp:extent cx="47625" cy="698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137" w:lineRule="exact"/>
        <w:rPr>
          <w:sz w:val="20"/>
          <w:szCs w:val="20"/>
          <w:color w:val="auto"/>
        </w:rPr>
      </w:pPr>
    </w:p>
    <w:p>
      <w:pPr>
        <w:ind w:left="640" w:right="679"/>
        <w:spacing w:after="0" w:line="268" w:lineRule="auto"/>
        <w:rPr>
          <w:sz w:val="20"/>
          <w:szCs w:val="20"/>
          <w:color w:val="auto"/>
        </w:rPr>
      </w:pPr>
      <w:r>
        <w:rPr>
          <w:rFonts w:ascii="Times New Roman" w:cs="Times New Roman" w:eastAsia="Times New Roman" w:hAnsi="Times New Roman"/>
          <w:sz w:val="14"/>
          <w:szCs w:val="14"/>
          <w:color w:val="auto"/>
        </w:rPr>
        <w:t>There were no potentially dilutive common share equivalents excluded from the computation of diluted net income (loss) per share for the three months ended September 30, 2026. For the three and nine months ended September 30, 2025, and the nine months ended September 30, 2026, there were an immaterial number of potentially dilutive common share equivalents excluded from the computation of diluted net income (loss) per share because their effect would have been anti-dilutive.</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11. Segment Information</w:t>
      </w:r>
    </w:p>
    <w:p>
      <w:pPr>
        <w:spacing w:after="0" w:line="185" w:lineRule="exact"/>
        <w:rPr>
          <w:sz w:val="20"/>
          <w:szCs w:val="20"/>
          <w:color w:val="auto"/>
        </w:rPr>
      </w:pPr>
    </w:p>
    <w:p>
      <w:pPr>
        <w:ind w:left="640" w:right="659"/>
        <w:spacing w:after="0" w:line="263" w:lineRule="auto"/>
        <w:rPr>
          <w:sz w:val="20"/>
          <w:szCs w:val="20"/>
          <w:color w:val="auto"/>
        </w:rPr>
      </w:pPr>
      <w:r>
        <w:rPr>
          <w:rFonts w:ascii="Times New Roman" w:cs="Times New Roman" w:eastAsia="Times New Roman" w:hAnsi="Times New Roman"/>
          <w:sz w:val="14"/>
          <w:szCs w:val="14"/>
          <w:color w:val="auto"/>
        </w:rPr>
        <w:t>The Company’s Chief Operating Decision Maker (“CODM”) is its Chief Executive Officer, who evaluates the performance of our segments and allocates resources based on segment EBITDA. Segment EBITDA is used as the key profitability measure when we set our annual operating plan for each segment, is the metric with which our CODM assesses segment results, and is a key component of our annual variable compensation plans. Segment EBITDA is commonly used as an analytical indicator within the health care industry and is utilized in the evaluation of segment operating performance as it is a profit measure that is generally within the control of the operating segments.</w:t>
      </w:r>
    </w:p>
    <w:p>
      <w:pPr>
        <w:spacing w:after="0" w:line="58" w:lineRule="exact"/>
        <w:rPr>
          <w:sz w:val="20"/>
          <w:szCs w:val="20"/>
          <w:color w:val="auto"/>
        </w:rPr>
      </w:pPr>
    </w:p>
    <w:p>
      <w:pPr>
        <w:jc w:val="both"/>
        <w:ind w:left="640" w:right="739"/>
        <w:spacing w:after="0" w:line="274" w:lineRule="auto"/>
        <w:rPr>
          <w:sz w:val="20"/>
          <w:szCs w:val="20"/>
          <w:color w:val="auto"/>
        </w:rPr>
      </w:pPr>
      <w:r>
        <w:rPr>
          <w:rFonts w:ascii="Times New Roman" w:cs="Times New Roman" w:eastAsia="Times New Roman" w:hAnsi="Times New Roman"/>
          <w:sz w:val="14"/>
          <w:szCs w:val="14"/>
          <w:color w:val="auto"/>
        </w:rPr>
        <w:t>For all segments, the CODM uses segment EBITDA in the annual budgeting and monthly forecasting process. The CODM considers actual-to budget and actual-to current forecast variances for segment EBITDA on a monthly basis for evaluating performance of each segment and making decisions about allocating capital and other resources to each segment.</w:t>
      </w:r>
    </w:p>
    <w:p>
      <w:pPr>
        <w:spacing w:after="0" w:line="50" w:lineRule="exact"/>
        <w:rPr>
          <w:sz w:val="20"/>
          <w:szCs w:val="20"/>
          <w:color w:val="auto"/>
        </w:rPr>
      </w:pPr>
    </w:p>
    <w:p>
      <w:pPr>
        <w:ind w:left="640" w:right="919"/>
        <w:spacing w:after="0" w:line="268" w:lineRule="auto"/>
        <w:rPr>
          <w:sz w:val="20"/>
          <w:szCs w:val="20"/>
          <w:color w:val="auto"/>
        </w:rPr>
      </w:pPr>
      <w:r>
        <w:rPr>
          <w:rFonts w:ascii="Times New Roman" w:cs="Times New Roman" w:eastAsia="Times New Roman" w:hAnsi="Times New Roman"/>
          <w:sz w:val="14"/>
          <w:szCs w:val="14"/>
          <w:color w:val="auto"/>
        </w:rPr>
        <w:t>Segment amounts exclude certain expenses not specifically identifiable to the segments for functions performed in a centralized manner, which include accounting, finance, human resources, legal, information technology, corporate office support, and overall corporate management. Segment assets and capital expenditures are not provided to the Company’s CODM and, therefore, are not disclosed.</w:t>
      </w:r>
    </w:p>
    <w:p>
      <w:pPr>
        <w:spacing w:after="0" w:line="54" w:lineRule="exact"/>
        <w:rPr>
          <w:sz w:val="20"/>
          <w:szCs w:val="20"/>
          <w:color w:val="auto"/>
        </w:rPr>
      </w:pPr>
    </w:p>
    <w:p>
      <w:pPr>
        <w:ind w:left="640" w:right="679"/>
        <w:spacing w:after="0" w:line="274" w:lineRule="auto"/>
        <w:rPr>
          <w:sz w:val="20"/>
          <w:szCs w:val="20"/>
          <w:color w:val="auto"/>
        </w:rPr>
      </w:pPr>
      <w:r>
        <w:rPr>
          <w:rFonts w:ascii="Times New Roman" w:cs="Times New Roman" w:eastAsia="Times New Roman" w:hAnsi="Times New Roman"/>
          <w:sz w:val="14"/>
          <w:szCs w:val="14"/>
          <w:color w:val="auto"/>
        </w:rPr>
        <w:t>The following tables set forth information about the Company’s reportable segments, along with the items necessary to reconcile the segment information to the totals reported in the Company’s unaudited condensed consolidated statements of operations as follows (in thousands):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85" w:right="1440" w:bottom="1440" w:gutter="0" w:footer="0" w:header="0"/>
        </w:sectPr>
      </w:pPr>
    </w:p>
    <w:bookmarkStart w:id="25" w:name="page26"/>
    <w:bookmarkEnd w:id="25"/>
    <w:tbl>
      <w:tblPr>
        <w:tblLayout w:type="fixed"/>
        <w:tblInd w:w="640" w:type="dxa"/>
        <w:tblCellMar>
          <w:top w:w="0" w:type="dxa"/>
          <w:left w:w="0" w:type="dxa"/>
          <w:bottom w:w="0" w:type="dxa"/>
          <w:right w:w="0" w:type="dxa"/>
        </w:tblCellMar>
      </w:tblPr>
      <w:tr>
        <w:trPr>
          <w:trHeight w:val="137"/>
        </w:trPr>
        <w:tc>
          <w:tcPr>
            <w:tcW w:w="3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120" w:type="dxa"/>
            <w:vAlign w:val="bottom"/>
            <w:tcBorders>
              <w:bottom w:val="single" w:sz="8" w:color="auto"/>
            </w:tcBorders>
            <w:gridSpan w:val="7"/>
          </w:tcPr>
          <w:p>
            <w:pPr>
              <w:jc w:val="center"/>
              <w:ind w:right="50"/>
              <w:spacing w:after="0"/>
              <w:rPr>
                <w:sz w:val="20"/>
                <w:szCs w:val="20"/>
                <w:color w:val="auto"/>
              </w:rPr>
            </w:pPr>
            <w:r>
              <w:rPr>
                <w:rFonts w:ascii="Times New Roman" w:cs="Times New Roman" w:eastAsia="Times New Roman" w:hAnsi="Times New Roman"/>
                <w:sz w:val="11"/>
                <w:szCs w:val="11"/>
                <w:b w:val="1"/>
                <w:bCs w:val="1"/>
                <w:color w:val="auto"/>
              </w:rPr>
              <w:t>For the Three Months Ended September 30, 2026</w:t>
            </w:r>
          </w:p>
        </w:tc>
        <w:tc>
          <w:tcPr>
            <w:tcW w:w="80" w:type="dxa"/>
            <w:vAlign w:val="bottom"/>
          </w:tcPr>
          <w:p>
            <w:pPr>
              <w:spacing w:after="0"/>
              <w:rPr>
                <w:sz w:val="11"/>
                <w:szCs w:val="11"/>
                <w:color w:val="auto"/>
              </w:rPr>
            </w:pPr>
          </w:p>
        </w:tc>
      </w:tr>
      <w:tr>
        <w:trPr>
          <w:trHeight w:val="152"/>
        </w:trPr>
        <w:tc>
          <w:tcPr>
            <w:tcW w:w="3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1"/>
                <w:szCs w:val="11"/>
                <w:b w:val="1"/>
                <w:bCs w:val="1"/>
                <w:color w:val="auto"/>
              </w:rPr>
              <w:t>Pharmacy Solutions</w:t>
            </w:r>
          </w:p>
        </w:tc>
        <w:tc>
          <w:tcPr>
            <w:tcW w:w="1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1"/>
                <w:szCs w:val="11"/>
                <w:b w:val="1"/>
                <w:bCs w:val="1"/>
                <w:color w:val="auto"/>
              </w:rPr>
              <w:t>Provider Services</w:t>
            </w:r>
          </w:p>
        </w:tc>
        <w:tc>
          <w:tcPr>
            <w:tcW w:w="2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1"/>
                <w:szCs w:val="11"/>
                <w:b w:val="1"/>
                <w:bCs w:val="1"/>
                <w:color w:val="auto"/>
              </w:rPr>
              <w:t>Total Segments</w:t>
            </w:r>
          </w:p>
        </w:tc>
        <w:tc>
          <w:tcPr>
            <w:tcW w:w="80" w:type="dxa"/>
            <w:vAlign w:val="bottom"/>
          </w:tcPr>
          <w:p>
            <w:pPr>
              <w:spacing w:after="0"/>
              <w:rPr>
                <w:sz w:val="13"/>
                <w:szCs w:val="13"/>
                <w:color w:val="auto"/>
              </w:rPr>
            </w:pPr>
          </w:p>
        </w:tc>
      </w:tr>
      <w:tr>
        <w:trPr>
          <w:trHeight w:val="163"/>
        </w:trPr>
        <w:tc>
          <w:tcPr>
            <w:tcW w:w="33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Products revenue</w:t>
            </w:r>
          </w:p>
        </w:tc>
        <w:tc>
          <w:tcPr>
            <w:tcW w:w="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3,732,428</w:t>
            </w:r>
          </w:p>
        </w:tc>
        <w:tc>
          <w:tcPr>
            <w:tcW w:w="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3,732,428</w:t>
            </w:r>
          </w:p>
        </w:tc>
        <w:tc>
          <w:tcPr>
            <w:tcW w:w="80" w:type="dxa"/>
            <w:vAlign w:val="bottom"/>
            <w:shd w:val="clear" w:color="auto" w:fill="CFF0FC"/>
          </w:tcPr>
          <w:p>
            <w:pPr>
              <w:spacing w:after="0"/>
              <w:rPr>
                <w:sz w:val="14"/>
                <w:szCs w:val="14"/>
                <w:color w:val="auto"/>
              </w:rPr>
            </w:pPr>
          </w:p>
        </w:tc>
      </w:tr>
      <w:tr>
        <w:trPr>
          <w:trHeight w:val="172"/>
        </w:trPr>
        <w:tc>
          <w:tcPr>
            <w:tcW w:w="3340" w:type="dxa"/>
            <w:vAlign w:val="bottom"/>
          </w:tcPr>
          <w:p>
            <w:pPr>
              <w:spacing w:after="0"/>
              <w:rPr>
                <w:sz w:val="20"/>
                <w:szCs w:val="20"/>
                <w:color w:val="auto"/>
              </w:rPr>
            </w:pPr>
            <w:r>
              <w:rPr>
                <w:rFonts w:ascii="Times New Roman" w:cs="Times New Roman" w:eastAsia="Times New Roman" w:hAnsi="Times New Roman"/>
                <w:sz w:val="14"/>
                <w:szCs w:val="14"/>
                <w:color w:val="auto"/>
              </w:rPr>
              <w:t>Services revenue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480,806</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480,806</w:t>
            </w:r>
          </w:p>
        </w:tc>
        <w:tc>
          <w:tcPr>
            <w:tcW w:w="80" w:type="dxa"/>
            <w:vAlign w:val="bottom"/>
          </w:tcPr>
          <w:p>
            <w:pPr>
              <w:spacing w:after="0"/>
              <w:rPr>
                <w:sz w:val="14"/>
                <w:szCs w:val="14"/>
                <w:color w:val="auto"/>
              </w:rPr>
            </w:pPr>
          </w:p>
        </w:tc>
      </w:tr>
      <w:tr>
        <w:trPr>
          <w:trHeight w:val="172"/>
        </w:trPr>
        <w:tc>
          <w:tcPr>
            <w:tcW w:w="33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Cost of drugs</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3,222,182</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3,222,182</w:t>
            </w:r>
          </w:p>
        </w:tc>
        <w:tc>
          <w:tcPr>
            <w:tcW w:w="80" w:type="dxa"/>
            <w:vAlign w:val="bottom"/>
            <w:shd w:val="clear" w:color="auto" w:fill="CFF0FC"/>
          </w:tcPr>
          <w:p>
            <w:pPr>
              <w:spacing w:after="0"/>
              <w:rPr>
                <w:sz w:val="14"/>
                <w:szCs w:val="14"/>
                <w:color w:val="auto"/>
              </w:rPr>
            </w:pPr>
          </w:p>
        </w:tc>
      </w:tr>
      <w:tr>
        <w:trPr>
          <w:trHeight w:val="172"/>
        </w:trPr>
        <w:tc>
          <w:tcPr>
            <w:tcW w:w="3340" w:type="dxa"/>
            <w:vAlign w:val="bottom"/>
          </w:tcPr>
          <w:p>
            <w:pPr>
              <w:spacing w:after="0"/>
              <w:rPr>
                <w:sz w:val="20"/>
                <w:szCs w:val="20"/>
                <w:color w:val="auto"/>
              </w:rPr>
            </w:pPr>
            <w:r>
              <w:rPr>
                <w:rFonts w:ascii="Times New Roman" w:cs="Times New Roman" w:eastAsia="Times New Roman" w:hAnsi="Times New Roman"/>
                <w:sz w:val="14"/>
                <w:szCs w:val="14"/>
                <w:color w:val="auto"/>
              </w:rPr>
              <w:t>Cost of services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278,270</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278,270</w:t>
            </w:r>
          </w:p>
        </w:tc>
        <w:tc>
          <w:tcPr>
            <w:tcW w:w="80" w:type="dxa"/>
            <w:vAlign w:val="bottom"/>
          </w:tcPr>
          <w:p>
            <w:pPr>
              <w:spacing w:after="0"/>
              <w:rPr>
                <w:sz w:val="14"/>
                <w:szCs w:val="14"/>
                <w:color w:val="auto"/>
              </w:rPr>
            </w:pPr>
          </w:p>
        </w:tc>
      </w:tr>
      <w:tr>
        <w:trPr>
          <w:trHeight w:val="172"/>
        </w:trPr>
        <w:tc>
          <w:tcPr>
            <w:tcW w:w="3340" w:type="dxa"/>
            <w:vAlign w:val="bottom"/>
            <w:shd w:val="clear" w:color="auto" w:fill="CFF0FC"/>
          </w:tcPr>
          <w:p>
            <w:pPr>
              <w:spacing w:after="0" w:line="172" w:lineRule="exact"/>
              <w:rPr>
                <w:sz w:val="20"/>
                <w:szCs w:val="20"/>
                <w:color w:val="auto"/>
              </w:rPr>
            </w:pPr>
            <w:r>
              <w:rPr>
                <w:rFonts w:ascii="Times New Roman" w:cs="Times New Roman" w:eastAsia="Times New Roman" w:hAnsi="Times New Roman"/>
                <w:sz w:val="14"/>
                <w:szCs w:val="14"/>
                <w:color w:val="auto"/>
              </w:rPr>
              <w:t xml:space="preserve">Other direct costs </w:t>
            </w:r>
            <w:r>
              <w:rPr>
                <w:rFonts w:ascii="Times New Roman" w:cs="Times New Roman" w:eastAsia="Times New Roman" w:hAnsi="Times New Roman"/>
                <w:sz w:val="19"/>
                <w:szCs w:val="19"/>
                <w:color w:val="auto"/>
                <w:vertAlign w:val="superscript"/>
              </w:rPr>
              <w:t>(1)</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194,233</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194,233</w:t>
            </w:r>
          </w:p>
        </w:tc>
        <w:tc>
          <w:tcPr>
            <w:tcW w:w="80" w:type="dxa"/>
            <w:vAlign w:val="bottom"/>
            <w:shd w:val="clear" w:color="auto" w:fill="CFF0FC"/>
          </w:tcPr>
          <w:p>
            <w:pPr>
              <w:spacing w:after="0"/>
              <w:rPr>
                <w:sz w:val="14"/>
                <w:szCs w:val="14"/>
                <w:color w:val="auto"/>
              </w:rPr>
            </w:pPr>
          </w:p>
        </w:tc>
      </w:tr>
      <w:tr>
        <w:trPr>
          <w:trHeight w:val="172"/>
        </w:trPr>
        <w:tc>
          <w:tcPr>
            <w:tcW w:w="3340" w:type="dxa"/>
            <w:vAlign w:val="bottom"/>
          </w:tcPr>
          <w:p>
            <w:pPr>
              <w:spacing w:after="0" w:line="172" w:lineRule="exact"/>
              <w:rPr>
                <w:sz w:val="20"/>
                <w:szCs w:val="20"/>
                <w:color w:val="auto"/>
              </w:rPr>
            </w:pPr>
            <w:r>
              <w:rPr>
                <w:rFonts w:ascii="Times New Roman" w:cs="Times New Roman" w:eastAsia="Times New Roman" w:hAnsi="Times New Roman"/>
                <w:sz w:val="14"/>
                <w:szCs w:val="14"/>
                <w:color w:val="auto"/>
              </w:rPr>
              <w:t xml:space="preserve">Segment selling, general, and administrative expenses </w:t>
            </w:r>
            <w:r>
              <w:rPr>
                <w:rFonts w:ascii="Times New Roman" w:cs="Times New Roman" w:eastAsia="Times New Roman" w:hAnsi="Times New Roman"/>
                <w:sz w:val="19"/>
                <w:szCs w:val="19"/>
                <w:color w:val="auto"/>
                <w:vertAlign w:val="superscript"/>
              </w:rPr>
              <w:t>(2)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139,833</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128,578</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268,411</w:t>
            </w:r>
          </w:p>
        </w:tc>
        <w:tc>
          <w:tcPr>
            <w:tcW w:w="80" w:type="dxa"/>
            <w:vAlign w:val="bottom"/>
          </w:tcPr>
          <w:p>
            <w:pPr>
              <w:spacing w:after="0"/>
              <w:rPr>
                <w:sz w:val="14"/>
                <w:szCs w:val="14"/>
                <w:color w:val="auto"/>
              </w:rPr>
            </w:pPr>
          </w:p>
        </w:tc>
      </w:tr>
      <w:tr>
        <w:trPr>
          <w:trHeight w:val="172"/>
        </w:trPr>
        <w:tc>
          <w:tcPr>
            <w:tcW w:w="3340" w:type="dxa"/>
            <w:vAlign w:val="bottom"/>
            <w:shd w:val="clear" w:color="auto" w:fill="CFF0FC"/>
          </w:tcPr>
          <w:p>
            <w:pPr>
              <w:spacing w:after="0" w:line="172" w:lineRule="exact"/>
              <w:rPr>
                <w:sz w:val="20"/>
                <w:szCs w:val="20"/>
                <w:color w:val="auto"/>
              </w:rPr>
            </w:pPr>
            <w:r>
              <w:rPr>
                <w:rFonts w:ascii="Times New Roman" w:cs="Times New Roman" w:eastAsia="Times New Roman" w:hAnsi="Times New Roman"/>
                <w:sz w:val="14"/>
                <w:szCs w:val="14"/>
                <w:color w:val="auto"/>
              </w:rPr>
              <w:t xml:space="preserve">Segment depreciation and amortization expense </w:t>
            </w:r>
            <w:r>
              <w:rPr>
                <w:rFonts w:ascii="Times New Roman" w:cs="Times New Roman" w:eastAsia="Times New Roman" w:hAnsi="Times New Roman"/>
                <w:sz w:val="19"/>
                <w:szCs w:val="19"/>
                <w:color w:val="auto"/>
                <w:vertAlign w:val="superscript"/>
              </w:rPr>
              <w:t>(3)</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25,800</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4,994</w:t>
            </w: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30,794</w:t>
            </w:r>
          </w:p>
        </w:tc>
        <w:tc>
          <w:tcPr>
            <w:tcW w:w="80" w:type="dxa"/>
            <w:vAlign w:val="bottom"/>
            <w:shd w:val="clear" w:color="auto" w:fill="CFF0FC"/>
          </w:tcPr>
          <w:p>
            <w:pPr>
              <w:spacing w:after="0"/>
              <w:rPr>
                <w:sz w:val="14"/>
                <w:szCs w:val="14"/>
                <w:color w:val="auto"/>
              </w:rPr>
            </w:pPr>
          </w:p>
        </w:tc>
      </w:tr>
      <w:tr>
        <w:trPr>
          <w:trHeight w:val="188"/>
        </w:trPr>
        <w:tc>
          <w:tcPr>
            <w:tcW w:w="3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Segment EBITDA</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201,980</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78,952</w:t>
            </w: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280,932</w:t>
            </w:r>
          </w:p>
        </w:tc>
        <w:tc>
          <w:tcPr>
            <w:tcW w:w="80" w:type="dxa"/>
            <w:vAlign w:val="bottom"/>
          </w:tcPr>
          <w:p>
            <w:pPr>
              <w:spacing w:after="0"/>
              <w:rPr>
                <w:sz w:val="16"/>
                <w:szCs w:val="16"/>
                <w:color w:val="auto"/>
              </w:rPr>
            </w:pPr>
          </w:p>
        </w:tc>
      </w:tr>
      <w:tr>
        <w:trPr>
          <w:trHeight w:val="317"/>
        </w:trPr>
        <w:tc>
          <w:tcPr>
            <w:tcW w:w="3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gridSpan w:val="7"/>
          </w:tcPr>
          <w:p>
            <w:pPr>
              <w:jc w:val="center"/>
              <w:ind w:right="50"/>
              <w:spacing w:after="0"/>
              <w:rPr>
                <w:sz w:val="20"/>
                <w:szCs w:val="20"/>
                <w:color w:val="auto"/>
              </w:rPr>
            </w:pPr>
            <w:r>
              <w:rPr>
                <w:rFonts w:ascii="Times New Roman" w:cs="Times New Roman" w:eastAsia="Times New Roman" w:hAnsi="Times New Roman"/>
                <w:sz w:val="11"/>
                <w:szCs w:val="11"/>
                <w:b w:val="1"/>
                <w:bCs w:val="1"/>
                <w:color w:val="auto"/>
              </w:rPr>
              <w:t>For the Three Months Ended September 30, 2025</w:t>
            </w:r>
          </w:p>
        </w:tc>
        <w:tc>
          <w:tcPr>
            <w:tcW w:w="80" w:type="dxa"/>
            <w:vAlign w:val="bottom"/>
          </w:tcPr>
          <w:p>
            <w:pPr>
              <w:spacing w:after="0"/>
              <w:rPr>
                <w:sz w:val="24"/>
                <w:szCs w:val="24"/>
                <w:color w:val="auto"/>
              </w:rPr>
            </w:pPr>
          </w:p>
        </w:tc>
      </w:tr>
      <w:tr>
        <w:trPr>
          <w:trHeight w:val="152"/>
        </w:trPr>
        <w:tc>
          <w:tcPr>
            <w:tcW w:w="3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1"/>
                <w:szCs w:val="11"/>
                <w:b w:val="1"/>
                <w:bCs w:val="1"/>
                <w:color w:val="auto"/>
              </w:rPr>
              <w:t>Pharmacy Solutions</w:t>
            </w:r>
          </w:p>
        </w:tc>
        <w:tc>
          <w:tcPr>
            <w:tcW w:w="1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1"/>
                <w:szCs w:val="11"/>
                <w:b w:val="1"/>
                <w:bCs w:val="1"/>
                <w:color w:val="auto"/>
              </w:rPr>
              <w:t>Provider Services</w:t>
            </w:r>
          </w:p>
        </w:tc>
        <w:tc>
          <w:tcPr>
            <w:tcW w:w="2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1"/>
                <w:szCs w:val="11"/>
                <w:b w:val="1"/>
                <w:bCs w:val="1"/>
                <w:color w:val="auto"/>
              </w:rPr>
              <w:t>Total Segments</w:t>
            </w:r>
          </w:p>
        </w:tc>
        <w:tc>
          <w:tcPr>
            <w:tcW w:w="80" w:type="dxa"/>
            <w:vAlign w:val="bottom"/>
          </w:tcPr>
          <w:p>
            <w:pPr>
              <w:spacing w:after="0"/>
              <w:rPr>
                <w:sz w:val="13"/>
                <w:szCs w:val="13"/>
                <w:color w:val="auto"/>
              </w:rPr>
            </w:pPr>
          </w:p>
        </w:tc>
      </w:tr>
      <w:tr>
        <w:trPr>
          <w:trHeight w:val="163"/>
        </w:trPr>
        <w:tc>
          <w:tcPr>
            <w:tcW w:w="33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Products revenue</w:t>
            </w:r>
          </w:p>
        </w:tc>
        <w:tc>
          <w:tcPr>
            <w:tcW w:w="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2,966,966</w:t>
            </w:r>
          </w:p>
        </w:tc>
        <w:tc>
          <w:tcPr>
            <w:tcW w:w="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2,966,966</w:t>
            </w:r>
          </w:p>
        </w:tc>
        <w:tc>
          <w:tcPr>
            <w:tcW w:w="80" w:type="dxa"/>
            <w:vAlign w:val="bottom"/>
            <w:shd w:val="clear" w:color="auto" w:fill="CFF0FC"/>
          </w:tcPr>
          <w:p>
            <w:pPr>
              <w:spacing w:after="0"/>
              <w:rPr>
                <w:sz w:val="14"/>
                <w:szCs w:val="14"/>
                <w:color w:val="auto"/>
              </w:rPr>
            </w:pPr>
          </w:p>
        </w:tc>
      </w:tr>
      <w:tr>
        <w:trPr>
          <w:trHeight w:val="172"/>
        </w:trPr>
        <w:tc>
          <w:tcPr>
            <w:tcW w:w="3340" w:type="dxa"/>
            <w:vAlign w:val="bottom"/>
          </w:tcPr>
          <w:p>
            <w:pPr>
              <w:spacing w:after="0"/>
              <w:rPr>
                <w:sz w:val="20"/>
                <w:szCs w:val="20"/>
                <w:color w:val="auto"/>
              </w:rPr>
            </w:pPr>
            <w:r>
              <w:rPr>
                <w:rFonts w:ascii="Times New Roman" w:cs="Times New Roman" w:eastAsia="Times New Roman" w:hAnsi="Times New Roman"/>
                <w:sz w:val="14"/>
                <w:szCs w:val="14"/>
                <w:color w:val="auto"/>
              </w:rPr>
              <w:t>Services revenue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367,140</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367,140</w:t>
            </w:r>
          </w:p>
        </w:tc>
        <w:tc>
          <w:tcPr>
            <w:tcW w:w="80" w:type="dxa"/>
            <w:vAlign w:val="bottom"/>
          </w:tcPr>
          <w:p>
            <w:pPr>
              <w:spacing w:after="0"/>
              <w:rPr>
                <w:sz w:val="14"/>
                <w:szCs w:val="14"/>
                <w:color w:val="auto"/>
              </w:rPr>
            </w:pPr>
          </w:p>
        </w:tc>
      </w:tr>
      <w:tr>
        <w:trPr>
          <w:trHeight w:val="172"/>
        </w:trPr>
        <w:tc>
          <w:tcPr>
            <w:tcW w:w="33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Cost of drugs</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2,541,723</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2,541,723</w:t>
            </w:r>
          </w:p>
        </w:tc>
        <w:tc>
          <w:tcPr>
            <w:tcW w:w="80" w:type="dxa"/>
            <w:vAlign w:val="bottom"/>
            <w:shd w:val="clear" w:color="auto" w:fill="CFF0FC"/>
          </w:tcPr>
          <w:p>
            <w:pPr>
              <w:spacing w:after="0"/>
              <w:rPr>
                <w:sz w:val="14"/>
                <w:szCs w:val="14"/>
                <w:color w:val="auto"/>
              </w:rPr>
            </w:pPr>
          </w:p>
        </w:tc>
      </w:tr>
      <w:tr>
        <w:trPr>
          <w:trHeight w:val="172"/>
        </w:trPr>
        <w:tc>
          <w:tcPr>
            <w:tcW w:w="3340" w:type="dxa"/>
            <w:vAlign w:val="bottom"/>
          </w:tcPr>
          <w:p>
            <w:pPr>
              <w:spacing w:after="0"/>
              <w:rPr>
                <w:sz w:val="20"/>
                <w:szCs w:val="20"/>
                <w:color w:val="auto"/>
              </w:rPr>
            </w:pPr>
            <w:r>
              <w:rPr>
                <w:rFonts w:ascii="Times New Roman" w:cs="Times New Roman" w:eastAsia="Times New Roman" w:hAnsi="Times New Roman"/>
                <w:sz w:val="14"/>
                <w:szCs w:val="14"/>
                <w:color w:val="auto"/>
              </w:rPr>
              <w:t>Cost of services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220,784</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220,784</w:t>
            </w:r>
          </w:p>
        </w:tc>
        <w:tc>
          <w:tcPr>
            <w:tcW w:w="80" w:type="dxa"/>
            <w:vAlign w:val="bottom"/>
          </w:tcPr>
          <w:p>
            <w:pPr>
              <w:spacing w:after="0"/>
              <w:rPr>
                <w:sz w:val="14"/>
                <w:szCs w:val="14"/>
                <w:color w:val="auto"/>
              </w:rPr>
            </w:pPr>
          </w:p>
        </w:tc>
      </w:tr>
      <w:tr>
        <w:trPr>
          <w:trHeight w:val="172"/>
        </w:trPr>
        <w:tc>
          <w:tcPr>
            <w:tcW w:w="3340" w:type="dxa"/>
            <w:vAlign w:val="bottom"/>
            <w:shd w:val="clear" w:color="auto" w:fill="CFF0FC"/>
          </w:tcPr>
          <w:p>
            <w:pPr>
              <w:spacing w:after="0" w:line="172" w:lineRule="exact"/>
              <w:rPr>
                <w:sz w:val="20"/>
                <w:szCs w:val="20"/>
                <w:color w:val="auto"/>
              </w:rPr>
            </w:pPr>
            <w:r>
              <w:rPr>
                <w:rFonts w:ascii="Times New Roman" w:cs="Times New Roman" w:eastAsia="Times New Roman" w:hAnsi="Times New Roman"/>
                <w:sz w:val="14"/>
                <w:szCs w:val="14"/>
                <w:color w:val="auto"/>
              </w:rPr>
              <w:t xml:space="preserve">Other direct costs </w:t>
            </w:r>
            <w:r>
              <w:rPr>
                <w:rFonts w:ascii="Times New Roman" w:cs="Times New Roman" w:eastAsia="Times New Roman" w:hAnsi="Times New Roman"/>
                <w:sz w:val="19"/>
                <w:szCs w:val="19"/>
                <w:color w:val="auto"/>
                <w:vertAlign w:val="superscript"/>
              </w:rPr>
              <w:t>(1)</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179,591</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179,591</w:t>
            </w:r>
          </w:p>
        </w:tc>
        <w:tc>
          <w:tcPr>
            <w:tcW w:w="80" w:type="dxa"/>
            <w:vAlign w:val="bottom"/>
            <w:shd w:val="clear" w:color="auto" w:fill="CFF0FC"/>
          </w:tcPr>
          <w:p>
            <w:pPr>
              <w:spacing w:after="0"/>
              <w:rPr>
                <w:sz w:val="14"/>
                <w:szCs w:val="14"/>
                <w:color w:val="auto"/>
              </w:rPr>
            </w:pPr>
          </w:p>
        </w:tc>
      </w:tr>
      <w:tr>
        <w:trPr>
          <w:trHeight w:val="172"/>
        </w:trPr>
        <w:tc>
          <w:tcPr>
            <w:tcW w:w="3340" w:type="dxa"/>
            <w:vAlign w:val="bottom"/>
          </w:tcPr>
          <w:p>
            <w:pPr>
              <w:spacing w:after="0" w:line="172" w:lineRule="exact"/>
              <w:rPr>
                <w:sz w:val="20"/>
                <w:szCs w:val="20"/>
                <w:color w:val="auto"/>
              </w:rPr>
            </w:pPr>
            <w:r>
              <w:rPr>
                <w:rFonts w:ascii="Times New Roman" w:cs="Times New Roman" w:eastAsia="Times New Roman" w:hAnsi="Times New Roman"/>
                <w:sz w:val="14"/>
                <w:szCs w:val="14"/>
                <w:color w:val="auto"/>
              </w:rPr>
              <w:t xml:space="preserve">Segment selling, general, and administrative expenses </w:t>
            </w:r>
            <w:r>
              <w:rPr>
                <w:rFonts w:ascii="Times New Roman" w:cs="Times New Roman" w:eastAsia="Times New Roman" w:hAnsi="Times New Roman"/>
                <w:sz w:val="19"/>
                <w:szCs w:val="19"/>
                <w:color w:val="auto"/>
                <w:vertAlign w:val="superscript"/>
              </w:rPr>
              <w:t>(2)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131,116</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93,027</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224,143</w:t>
            </w:r>
          </w:p>
        </w:tc>
        <w:tc>
          <w:tcPr>
            <w:tcW w:w="80" w:type="dxa"/>
            <w:vAlign w:val="bottom"/>
          </w:tcPr>
          <w:p>
            <w:pPr>
              <w:spacing w:after="0"/>
              <w:rPr>
                <w:sz w:val="14"/>
                <w:szCs w:val="14"/>
                <w:color w:val="auto"/>
              </w:rPr>
            </w:pPr>
          </w:p>
        </w:tc>
      </w:tr>
      <w:tr>
        <w:trPr>
          <w:trHeight w:val="172"/>
        </w:trPr>
        <w:tc>
          <w:tcPr>
            <w:tcW w:w="3340" w:type="dxa"/>
            <w:vAlign w:val="bottom"/>
            <w:shd w:val="clear" w:color="auto" w:fill="CFF0FC"/>
          </w:tcPr>
          <w:p>
            <w:pPr>
              <w:spacing w:after="0" w:line="172" w:lineRule="exact"/>
              <w:rPr>
                <w:sz w:val="20"/>
                <w:szCs w:val="20"/>
                <w:color w:val="auto"/>
              </w:rPr>
            </w:pPr>
            <w:r>
              <w:rPr>
                <w:rFonts w:ascii="Times New Roman" w:cs="Times New Roman" w:eastAsia="Times New Roman" w:hAnsi="Times New Roman"/>
                <w:sz w:val="14"/>
                <w:szCs w:val="14"/>
                <w:color w:val="auto"/>
              </w:rPr>
              <w:t xml:space="preserve">Segment depreciation and amortization expense </w:t>
            </w:r>
            <w:r>
              <w:rPr>
                <w:rFonts w:ascii="Times New Roman" w:cs="Times New Roman" w:eastAsia="Times New Roman" w:hAnsi="Times New Roman"/>
                <w:sz w:val="19"/>
                <w:szCs w:val="19"/>
                <w:color w:val="auto"/>
                <w:vertAlign w:val="superscript"/>
              </w:rPr>
              <w:t>(3)</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26,451</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7,340</w:t>
            </w: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33,791</w:t>
            </w:r>
          </w:p>
        </w:tc>
        <w:tc>
          <w:tcPr>
            <w:tcW w:w="80" w:type="dxa"/>
            <w:vAlign w:val="bottom"/>
            <w:shd w:val="clear" w:color="auto" w:fill="CFF0FC"/>
          </w:tcPr>
          <w:p>
            <w:pPr>
              <w:spacing w:after="0"/>
              <w:rPr>
                <w:sz w:val="14"/>
                <w:szCs w:val="14"/>
                <w:color w:val="auto"/>
              </w:rPr>
            </w:pPr>
          </w:p>
        </w:tc>
      </w:tr>
      <w:tr>
        <w:trPr>
          <w:trHeight w:val="188"/>
        </w:trPr>
        <w:tc>
          <w:tcPr>
            <w:tcW w:w="3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Segment EBITDA</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140,987</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60,669</w:t>
            </w: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201,656</w:t>
            </w:r>
          </w:p>
        </w:tc>
        <w:tc>
          <w:tcPr>
            <w:tcW w:w="80" w:type="dxa"/>
            <w:vAlign w:val="bottom"/>
          </w:tcPr>
          <w:p>
            <w:pPr>
              <w:spacing w:after="0"/>
              <w:rPr>
                <w:sz w:val="16"/>
                <w:szCs w:val="16"/>
                <w:color w:val="auto"/>
              </w:rPr>
            </w:pPr>
          </w:p>
        </w:tc>
      </w:tr>
      <w:tr>
        <w:trPr>
          <w:trHeight w:val="317"/>
        </w:trPr>
        <w:tc>
          <w:tcPr>
            <w:tcW w:w="3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gridSpan w:val="7"/>
          </w:tcPr>
          <w:p>
            <w:pPr>
              <w:jc w:val="center"/>
              <w:ind w:right="50"/>
              <w:spacing w:after="0"/>
              <w:rPr>
                <w:sz w:val="20"/>
                <w:szCs w:val="20"/>
                <w:color w:val="auto"/>
              </w:rPr>
            </w:pPr>
            <w:r>
              <w:rPr>
                <w:rFonts w:ascii="Times New Roman" w:cs="Times New Roman" w:eastAsia="Times New Roman" w:hAnsi="Times New Roman"/>
                <w:sz w:val="11"/>
                <w:szCs w:val="11"/>
                <w:b w:val="1"/>
                <w:bCs w:val="1"/>
                <w:color w:val="auto"/>
              </w:rPr>
              <w:t>For the Nine Months Ended September 30, 2026</w:t>
            </w:r>
          </w:p>
        </w:tc>
        <w:tc>
          <w:tcPr>
            <w:tcW w:w="80" w:type="dxa"/>
            <w:vAlign w:val="bottom"/>
          </w:tcPr>
          <w:p>
            <w:pPr>
              <w:spacing w:after="0"/>
              <w:rPr>
                <w:sz w:val="24"/>
                <w:szCs w:val="24"/>
                <w:color w:val="auto"/>
              </w:rPr>
            </w:pPr>
          </w:p>
        </w:tc>
      </w:tr>
      <w:tr>
        <w:trPr>
          <w:trHeight w:val="152"/>
        </w:trPr>
        <w:tc>
          <w:tcPr>
            <w:tcW w:w="3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1"/>
                <w:szCs w:val="11"/>
                <w:b w:val="1"/>
                <w:bCs w:val="1"/>
                <w:color w:val="auto"/>
              </w:rPr>
              <w:t>Pharmacy Solutions</w:t>
            </w:r>
          </w:p>
        </w:tc>
        <w:tc>
          <w:tcPr>
            <w:tcW w:w="1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1"/>
                <w:szCs w:val="11"/>
                <w:b w:val="1"/>
                <w:bCs w:val="1"/>
                <w:color w:val="auto"/>
              </w:rPr>
              <w:t>Provider Services</w:t>
            </w:r>
          </w:p>
        </w:tc>
        <w:tc>
          <w:tcPr>
            <w:tcW w:w="2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1"/>
                <w:szCs w:val="11"/>
                <w:b w:val="1"/>
                <w:bCs w:val="1"/>
                <w:color w:val="auto"/>
              </w:rPr>
              <w:t>Total Segments</w:t>
            </w:r>
          </w:p>
        </w:tc>
        <w:tc>
          <w:tcPr>
            <w:tcW w:w="80" w:type="dxa"/>
            <w:vAlign w:val="bottom"/>
          </w:tcPr>
          <w:p>
            <w:pPr>
              <w:spacing w:after="0"/>
              <w:rPr>
                <w:sz w:val="13"/>
                <w:szCs w:val="13"/>
                <w:color w:val="auto"/>
              </w:rPr>
            </w:pPr>
          </w:p>
        </w:tc>
      </w:tr>
      <w:tr>
        <w:trPr>
          <w:trHeight w:val="163"/>
        </w:trPr>
        <w:tc>
          <w:tcPr>
            <w:tcW w:w="33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Products revenue</w:t>
            </w:r>
          </w:p>
        </w:tc>
        <w:tc>
          <w:tcPr>
            <w:tcW w:w="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10,310,950</w:t>
            </w:r>
          </w:p>
        </w:tc>
        <w:tc>
          <w:tcPr>
            <w:tcW w:w="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10,310,950</w:t>
            </w:r>
          </w:p>
        </w:tc>
        <w:tc>
          <w:tcPr>
            <w:tcW w:w="80" w:type="dxa"/>
            <w:vAlign w:val="bottom"/>
            <w:shd w:val="clear" w:color="auto" w:fill="CFF0FC"/>
          </w:tcPr>
          <w:p>
            <w:pPr>
              <w:spacing w:after="0"/>
              <w:rPr>
                <w:sz w:val="14"/>
                <w:szCs w:val="14"/>
                <w:color w:val="auto"/>
              </w:rPr>
            </w:pPr>
          </w:p>
        </w:tc>
      </w:tr>
      <w:tr>
        <w:trPr>
          <w:trHeight w:val="172"/>
        </w:trPr>
        <w:tc>
          <w:tcPr>
            <w:tcW w:w="3340" w:type="dxa"/>
            <w:vAlign w:val="bottom"/>
          </w:tcPr>
          <w:p>
            <w:pPr>
              <w:spacing w:after="0"/>
              <w:rPr>
                <w:sz w:val="20"/>
                <w:szCs w:val="20"/>
                <w:color w:val="auto"/>
              </w:rPr>
            </w:pPr>
            <w:r>
              <w:rPr>
                <w:rFonts w:ascii="Times New Roman" w:cs="Times New Roman" w:eastAsia="Times New Roman" w:hAnsi="Times New Roman"/>
                <w:sz w:val="14"/>
                <w:szCs w:val="14"/>
                <w:color w:val="auto"/>
              </w:rPr>
              <w:t>Services revenue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1,389,145</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1,389,145</w:t>
            </w:r>
          </w:p>
        </w:tc>
        <w:tc>
          <w:tcPr>
            <w:tcW w:w="80" w:type="dxa"/>
            <w:vAlign w:val="bottom"/>
          </w:tcPr>
          <w:p>
            <w:pPr>
              <w:spacing w:after="0"/>
              <w:rPr>
                <w:sz w:val="14"/>
                <w:szCs w:val="14"/>
                <w:color w:val="auto"/>
              </w:rPr>
            </w:pPr>
          </w:p>
        </w:tc>
      </w:tr>
      <w:tr>
        <w:trPr>
          <w:trHeight w:val="172"/>
        </w:trPr>
        <w:tc>
          <w:tcPr>
            <w:tcW w:w="33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Cost of drugs</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8,811,874</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8,811,874</w:t>
            </w:r>
          </w:p>
        </w:tc>
        <w:tc>
          <w:tcPr>
            <w:tcW w:w="80" w:type="dxa"/>
            <w:vAlign w:val="bottom"/>
            <w:shd w:val="clear" w:color="auto" w:fill="CFF0FC"/>
          </w:tcPr>
          <w:p>
            <w:pPr>
              <w:spacing w:after="0"/>
              <w:rPr>
                <w:sz w:val="14"/>
                <w:szCs w:val="14"/>
                <w:color w:val="auto"/>
              </w:rPr>
            </w:pPr>
          </w:p>
        </w:tc>
      </w:tr>
      <w:tr>
        <w:trPr>
          <w:trHeight w:val="172"/>
        </w:trPr>
        <w:tc>
          <w:tcPr>
            <w:tcW w:w="3340" w:type="dxa"/>
            <w:vAlign w:val="bottom"/>
          </w:tcPr>
          <w:p>
            <w:pPr>
              <w:spacing w:after="0"/>
              <w:rPr>
                <w:sz w:val="20"/>
                <w:szCs w:val="20"/>
                <w:color w:val="auto"/>
              </w:rPr>
            </w:pPr>
            <w:r>
              <w:rPr>
                <w:rFonts w:ascii="Times New Roman" w:cs="Times New Roman" w:eastAsia="Times New Roman" w:hAnsi="Times New Roman"/>
                <w:sz w:val="14"/>
                <w:szCs w:val="14"/>
                <w:color w:val="auto"/>
              </w:rPr>
              <w:t>Cost of services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810,596</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810,596</w:t>
            </w:r>
          </w:p>
        </w:tc>
        <w:tc>
          <w:tcPr>
            <w:tcW w:w="80" w:type="dxa"/>
            <w:vAlign w:val="bottom"/>
          </w:tcPr>
          <w:p>
            <w:pPr>
              <w:spacing w:after="0"/>
              <w:rPr>
                <w:sz w:val="14"/>
                <w:szCs w:val="14"/>
                <w:color w:val="auto"/>
              </w:rPr>
            </w:pPr>
          </w:p>
        </w:tc>
      </w:tr>
      <w:tr>
        <w:trPr>
          <w:trHeight w:val="172"/>
        </w:trPr>
        <w:tc>
          <w:tcPr>
            <w:tcW w:w="3340" w:type="dxa"/>
            <w:vAlign w:val="bottom"/>
            <w:shd w:val="clear" w:color="auto" w:fill="CFF0FC"/>
          </w:tcPr>
          <w:p>
            <w:pPr>
              <w:spacing w:after="0" w:line="172" w:lineRule="exact"/>
              <w:rPr>
                <w:sz w:val="20"/>
                <w:szCs w:val="20"/>
                <w:color w:val="auto"/>
              </w:rPr>
            </w:pPr>
            <w:r>
              <w:rPr>
                <w:rFonts w:ascii="Times New Roman" w:cs="Times New Roman" w:eastAsia="Times New Roman" w:hAnsi="Times New Roman"/>
                <w:sz w:val="14"/>
                <w:szCs w:val="14"/>
                <w:color w:val="auto"/>
              </w:rPr>
              <w:t xml:space="preserve">Other direct costs </w:t>
            </w:r>
            <w:r>
              <w:rPr>
                <w:rFonts w:ascii="Times New Roman" w:cs="Times New Roman" w:eastAsia="Times New Roman" w:hAnsi="Times New Roman"/>
                <w:sz w:val="19"/>
                <w:szCs w:val="19"/>
                <w:color w:val="auto"/>
                <w:vertAlign w:val="superscript"/>
              </w:rPr>
              <w:t>(1)</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584,108</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584,108</w:t>
            </w:r>
          </w:p>
        </w:tc>
        <w:tc>
          <w:tcPr>
            <w:tcW w:w="80" w:type="dxa"/>
            <w:vAlign w:val="bottom"/>
            <w:shd w:val="clear" w:color="auto" w:fill="CFF0FC"/>
          </w:tcPr>
          <w:p>
            <w:pPr>
              <w:spacing w:after="0"/>
              <w:rPr>
                <w:sz w:val="14"/>
                <w:szCs w:val="14"/>
                <w:color w:val="auto"/>
              </w:rPr>
            </w:pPr>
          </w:p>
        </w:tc>
      </w:tr>
      <w:tr>
        <w:trPr>
          <w:trHeight w:val="172"/>
        </w:trPr>
        <w:tc>
          <w:tcPr>
            <w:tcW w:w="3340" w:type="dxa"/>
            <w:vAlign w:val="bottom"/>
          </w:tcPr>
          <w:p>
            <w:pPr>
              <w:spacing w:after="0" w:line="172" w:lineRule="exact"/>
              <w:rPr>
                <w:sz w:val="20"/>
                <w:szCs w:val="20"/>
                <w:color w:val="auto"/>
              </w:rPr>
            </w:pPr>
            <w:r>
              <w:rPr>
                <w:rFonts w:ascii="Times New Roman" w:cs="Times New Roman" w:eastAsia="Times New Roman" w:hAnsi="Times New Roman"/>
                <w:sz w:val="14"/>
                <w:szCs w:val="14"/>
                <w:color w:val="auto"/>
              </w:rPr>
              <w:t xml:space="preserve">Segment selling, general, and administrative expenses </w:t>
            </w:r>
            <w:r>
              <w:rPr>
                <w:rFonts w:ascii="Times New Roman" w:cs="Times New Roman" w:eastAsia="Times New Roman" w:hAnsi="Times New Roman"/>
                <w:sz w:val="19"/>
                <w:szCs w:val="19"/>
                <w:color w:val="auto"/>
                <w:vertAlign w:val="superscript"/>
              </w:rPr>
              <w:t>(2)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440,479</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379,515</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819,994</w:t>
            </w:r>
          </w:p>
        </w:tc>
        <w:tc>
          <w:tcPr>
            <w:tcW w:w="80" w:type="dxa"/>
            <w:vAlign w:val="bottom"/>
          </w:tcPr>
          <w:p>
            <w:pPr>
              <w:spacing w:after="0"/>
              <w:rPr>
                <w:sz w:val="14"/>
                <w:szCs w:val="14"/>
                <w:color w:val="auto"/>
              </w:rPr>
            </w:pPr>
          </w:p>
        </w:tc>
      </w:tr>
      <w:tr>
        <w:trPr>
          <w:trHeight w:val="172"/>
        </w:trPr>
        <w:tc>
          <w:tcPr>
            <w:tcW w:w="3340" w:type="dxa"/>
            <w:vAlign w:val="bottom"/>
            <w:shd w:val="clear" w:color="auto" w:fill="CFF0FC"/>
          </w:tcPr>
          <w:p>
            <w:pPr>
              <w:spacing w:after="0" w:line="172" w:lineRule="exact"/>
              <w:rPr>
                <w:sz w:val="20"/>
                <w:szCs w:val="20"/>
                <w:color w:val="auto"/>
              </w:rPr>
            </w:pPr>
            <w:r>
              <w:rPr>
                <w:rFonts w:ascii="Times New Roman" w:cs="Times New Roman" w:eastAsia="Times New Roman" w:hAnsi="Times New Roman"/>
                <w:sz w:val="14"/>
                <w:szCs w:val="14"/>
                <w:color w:val="auto"/>
              </w:rPr>
              <w:t xml:space="preserve">Segment depreciation and amortization expense </w:t>
            </w:r>
            <w:r>
              <w:rPr>
                <w:rFonts w:ascii="Times New Roman" w:cs="Times New Roman" w:eastAsia="Times New Roman" w:hAnsi="Times New Roman"/>
                <w:sz w:val="19"/>
                <w:szCs w:val="19"/>
                <w:color w:val="auto"/>
                <w:vertAlign w:val="superscript"/>
              </w:rPr>
              <w:t>(3)</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76,608</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20,759</w:t>
            </w: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97,367</w:t>
            </w:r>
          </w:p>
        </w:tc>
        <w:tc>
          <w:tcPr>
            <w:tcW w:w="80" w:type="dxa"/>
            <w:vAlign w:val="bottom"/>
            <w:shd w:val="clear" w:color="auto" w:fill="CFF0FC"/>
          </w:tcPr>
          <w:p>
            <w:pPr>
              <w:spacing w:after="0"/>
              <w:rPr>
                <w:sz w:val="14"/>
                <w:szCs w:val="14"/>
                <w:color w:val="auto"/>
              </w:rPr>
            </w:pPr>
          </w:p>
        </w:tc>
      </w:tr>
      <w:tr>
        <w:trPr>
          <w:trHeight w:val="188"/>
        </w:trPr>
        <w:tc>
          <w:tcPr>
            <w:tcW w:w="3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Segment EBITDA</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551,097</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219,793</w:t>
            </w: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770,890</w:t>
            </w:r>
          </w:p>
        </w:tc>
        <w:tc>
          <w:tcPr>
            <w:tcW w:w="80" w:type="dxa"/>
            <w:vAlign w:val="bottom"/>
          </w:tcPr>
          <w:p>
            <w:pPr>
              <w:spacing w:after="0"/>
              <w:rPr>
                <w:sz w:val="16"/>
                <w:szCs w:val="16"/>
                <w:color w:val="auto"/>
              </w:rPr>
            </w:pPr>
          </w:p>
        </w:tc>
      </w:tr>
      <w:tr>
        <w:trPr>
          <w:trHeight w:val="317"/>
        </w:trPr>
        <w:tc>
          <w:tcPr>
            <w:tcW w:w="3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gridSpan w:val="7"/>
          </w:tcPr>
          <w:p>
            <w:pPr>
              <w:jc w:val="center"/>
              <w:ind w:right="50"/>
              <w:spacing w:after="0"/>
              <w:rPr>
                <w:sz w:val="20"/>
                <w:szCs w:val="20"/>
                <w:color w:val="auto"/>
              </w:rPr>
            </w:pPr>
            <w:r>
              <w:rPr>
                <w:rFonts w:ascii="Times New Roman" w:cs="Times New Roman" w:eastAsia="Times New Roman" w:hAnsi="Times New Roman"/>
                <w:sz w:val="11"/>
                <w:szCs w:val="11"/>
                <w:b w:val="1"/>
                <w:bCs w:val="1"/>
                <w:color w:val="auto"/>
              </w:rPr>
              <w:t>For the Nine Months Ended September 30, 2025</w:t>
            </w:r>
          </w:p>
        </w:tc>
        <w:tc>
          <w:tcPr>
            <w:tcW w:w="80" w:type="dxa"/>
            <w:vAlign w:val="bottom"/>
          </w:tcPr>
          <w:p>
            <w:pPr>
              <w:spacing w:after="0"/>
              <w:rPr>
                <w:sz w:val="24"/>
                <w:szCs w:val="24"/>
                <w:color w:val="auto"/>
              </w:rPr>
            </w:pPr>
          </w:p>
        </w:tc>
      </w:tr>
      <w:tr>
        <w:trPr>
          <w:trHeight w:val="152"/>
        </w:trPr>
        <w:tc>
          <w:tcPr>
            <w:tcW w:w="3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1"/>
                <w:szCs w:val="11"/>
                <w:b w:val="1"/>
                <w:bCs w:val="1"/>
                <w:color w:val="auto"/>
              </w:rPr>
              <w:t>Pharmacy Solutions</w:t>
            </w:r>
          </w:p>
        </w:tc>
        <w:tc>
          <w:tcPr>
            <w:tcW w:w="1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1"/>
                <w:szCs w:val="11"/>
                <w:b w:val="1"/>
                <w:bCs w:val="1"/>
                <w:color w:val="auto"/>
              </w:rPr>
              <w:t>Provider Services</w:t>
            </w:r>
          </w:p>
        </w:tc>
        <w:tc>
          <w:tcPr>
            <w:tcW w:w="2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1"/>
                <w:szCs w:val="11"/>
                <w:b w:val="1"/>
                <w:bCs w:val="1"/>
                <w:color w:val="auto"/>
              </w:rPr>
              <w:t>Total Segments</w:t>
            </w:r>
          </w:p>
        </w:tc>
        <w:tc>
          <w:tcPr>
            <w:tcW w:w="80" w:type="dxa"/>
            <w:vAlign w:val="bottom"/>
          </w:tcPr>
          <w:p>
            <w:pPr>
              <w:spacing w:after="0"/>
              <w:rPr>
                <w:sz w:val="13"/>
                <w:szCs w:val="13"/>
                <w:color w:val="auto"/>
              </w:rPr>
            </w:pPr>
          </w:p>
        </w:tc>
      </w:tr>
      <w:tr>
        <w:trPr>
          <w:trHeight w:val="163"/>
        </w:trPr>
        <w:tc>
          <w:tcPr>
            <w:tcW w:w="33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Products revenue</w:t>
            </w:r>
          </w:p>
        </w:tc>
        <w:tc>
          <w:tcPr>
            <w:tcW w:w="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8,289,238</w:t>
            </w:r>
          </w:p>
        </w:tc>
        <w:tc>
          <w:tcPr>
            <w:tcW w:w="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8,289,238</w:t>
            </w:r>
          </w:p>
        </w:tc>
        <w:tc>
          <w:tcPr>
            <w:tcW w:w="80" w:type="dxa"/>
            <w:vAlign w:val="bottom"/>
            <w:shd w:val="clear" w:color="auto" w:fill="CFF0FC"/>
          </w:tcPr>
          <w:p>
            <w:pPr>
              <w:spacing w:after="0"/>
              <w:rPr>
                <w:sz w:val="14"/>
                <w:szCs w:val="14"/>
                <w:color w:val="auto"/>
              </w:rPr>
            </w:pPr>
          </w:p>
        </w:tc>
      </w:tr>
      <w:tr>
        <w:trPr>
          <w:trHeight w:val="172"/>
        </w:trPr>
        <w:tc>
          <w:tcPr>
            <w:tcW w:w="3340" w:type="dxa"/>
            <w:vAlign w:val="bottom"/>
          </w:tcPr>
          <w:p>
            <w:pPr>
              <w:spacing w:after="0"/>
              <w:rPr>
                <w:sz w:val="20"/>
                <w:szCs w:val="20"/>
                <w:color w:val="auto"/>
              </w:rPr>
            </w:pPr>
            <w:r>
              <w:rPr>
                <w:rFonts w:ascii="Times New Roman" w:cs="Times New Roman" w:eastAsia="Times New Roman" w:hAnsi="Times New Roman"/>
                <w:sz w:val="14"/>
                <w:szCs w:val="14"/>
                <w:color w:val="auto"/>
              </w:rPr>
              <w:t>Services revenue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1,070,695</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1,070,695</w:t>
            </w:r>
          </w:p>
        </w:tc>
        <w:tc>
          <w:tcPr>
            <w:tcW w:w="80" w:type="dxa"/>
            <w:vAlign w:val="bottom"/>
          </w:tcPr>
          <w:p>
            <w:pPr>
              <w:spacing w:after="0"/>
              <w:rPr>
                <w:sz w:val="14"/>
                <w:szCs w:val="14"/>
                <w:color w:val="auto"/>
              </w:rPr>
            </w:pPr>
          </w:p>
        </w:tc>
      </w:tr>
      <w:tr>
        <w:trPr>
          <w:trHeight w:val="172"/>
        </w:trPr>
        <w:tc>
          <w:tcPr>
            <w:tcW w:w="33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Cost of drugs</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7,066,776</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7,066,776</w:t>
            </w:r>
          </w:p>
        </w:tc>
        <w:tc>
          <w:tcPr>
            <w:tcW w:w="80" w:type="dxa"/>
            <w:vAlign w:val="bottom"/>
            <w:shd w:val="clear" w:color="auto" w:fill="CFF0FC"/>
          </w:tcPr>
          <w:p>
            <w:pPr>
              <w:spacing w:after="0"/>
              <w:rPr>
                <w:sz w:val="14"/>
                <w:szCs w:val="14"/>
                <w:color w:val="auto"/>
              </w:rPr>
            </w:pPr>
          </w:p>
        </w:tc>
      </w:tr>
      <w:tr>
        <w:trPr>
          <w:trHeight w:val="172"/>
        </w:trPr>
        <w:tc>
          <w:tcPr>
            <w:tcW w:w="3340" w:type="dxa"/>
            <w:vAlign w:val="bottom"/>
          </w:tcPr>
          <w:p>
            <w:pPr>
              <w:spacing w:after="0"/>
              <w:rPr>
                <w:sz w:val="20"/>
                <w:szCs w:val="20"/>
                <w:color w:val="auto"/>
              </w:rPr>
            </w:pPr>
            <w:r>
              <w:rPr>
                <w:rFonts w:ascii="Times New Roman" w:cs="Times New Roman" w:eastAsia="Times New Roman" w:hAnsi="Times New Roman"/>
                <w:sz w:val="14"/>
                <w:szCs w:val="14"/>
                <w:color w:val="auto"/>
              </w:rPr>
              <w:t>Cost of services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648,773</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648,773</w:t>
            </w:r>
          </w:p>
        </w:tc>
        <w:tc>
          <w:tcPr>
            <w:tcW w:w="80" w:type="dxa"/>
            <w:vAlign w:val="bottom"/>
          </w:tcPr>
          <w:p>
            <w:pPr>
              <w:spacing w:after="0"/>
              <w:rPr>
                <w:sz w:val="14"/>
                <w:szCs w:val="14"/>
                <w:color w:val="auto"/>
              </w:rPr>
            </w:pPr>
          </w:p>
        </w:tc>
      </w:tr>
      <w:tr>
        <w:trPr>
          <w:trHeight w:val="172"/>
        </w:trPr>
        <w:tc>
          <w:tcPr>
            <w:tcW w:w="3340" w:type="dxa"/>
            <w:vAlign w:val="bottom"/>
            <w:shd w:val="clear" w:color="auto" w:fill="CFF0FC"/>
          </w:tcPr>
          <w:p>
            <w:pPr>
              <w:spacing w:after="0" w:line="172" w:lineRule="exact"/>
              <w:rPr>
                <w:sz w:val="20"/>
                <w:szCs w:val="20"/>
                <w:color w:val="auto"/>
              </w:rPr>
            </w:pPr>
            <w:r>
              <w:rPr>
                <w:rFonts w:ascii="Times New Roman" w:cs="Times New Roman" w:eastAsia="Times New Roman" w:hAnsi="Times New Roman"/>
                <w:sz w:val="14"/>
                <w:szCs w:val="14"/>
                <w:color w:val="auto"/>
              </w:rPr>
              <w:t xml:space="preserve">Other direct costs </w:t>
            </w:r>
            <w:r>
              <w:rPr>
                <w:rFonts w:ascii="Times New Roman" w:cs="Times New Roman" w:eastAsia="Times New Roman" w:hAnsi="Times New Roman"/>
                <w:sz w:val="19"/>
                <w:szCs w:val="19"/>
                <w:color w:val="auto"/>
                <w:vertAlign w:val="superscript"/>
              </w:rPr>
              <w:t>(1)</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539,155</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539,155</w:t>
            </w:r>
          </w:p>
        </w:tc>
        <w:tc>
          <w:tcPr>
            <w:tcW w:w="80" w:type="dxa"/>
            <w:vAlign w:val="bottom"/>
            <w:shd w:val="clear" w:color="auto" w:fill="CFF0FC"/>
          </w:tcPr>
          <w:p>
            <w:pPr>
              <w:spacing w:after="0"/>
              <w:rPr>
                <w:sz w:val="14"/>
                <w:szCs w:val="14"/>
                <w:color w:val="auto"/>
              </w:rPr>
            </w:pPr>
          </w:p>
        </w:tc>
      </w:tr>
      <w:tr>
        <w:trPr>
          <w:trHeight w:val="172"/>
        </w:trPr>
        <w:tc>
          <w:tcPr>
            <w:tcW w:w="3340" w:type="dxa"/>
            <w:vAlign w:val="bottom"/>
          </w:tcPr>
          <w:p>
            <w:pPr>
              <w:spacing w:after="0" w:line="172" w:lineRule="exact"/>
              <w:rPr>
                <w:sz w:val="20"/>
                <w:szCs w:val="20"/>
                <w:color w:val="auto"/>
              </w:rPr>
            </w:pPr>
            <w:r>
              <w:rPr>
                <w:rFonts w:ascii="Times New Roman" w:cs="Times New Roman" w:eastAsia="Times New Roman" w:hAnsi="Times New Roman"/>
                <w:sz w:val="14"/>
                <w:szCs w:val="14"/>
                <w:color w:val="auto"/>
              </w:rPr>
              <w:t xml:space="preserve">Segment selling, general, and administrative expenses </w:t>
            </w:r>
            <w:r>
              <w:rPr>
                <w:rFonts w:ascii="Times New Roman" w:cs="Times New Roman" w:eastAsia="Times New Roman" w:hAnsi="Times New Roman"/>
                <w:sz w:val="19"/>
                <w:szCs w:val="19"/>
                <w:color w:val="auto"/>
                <w:vertAlign w:val="superscript"/>
              </w:rPr>
              <w:t>(2)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382,894</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275,000</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657,894</w:t>
            </w:r>
          </w:p>
        </w:tc>
        <w:tc>
          <w:tcPr>
            <w:tcW w:w="80" w:type="dxa"/>
            <w:vAlign w:val="bottom"/>
          </w:tcPr>
          <w:p>
            <w:pPr>
              <w:spacing w:after="0"/>
              <w:rPr>
                <w:sz w:val="14"/>
                <w:szCs w:val="14"/>
                <w:color w:val="auto"/>
              </w:rPr>
            </w:pPr>
          </w:p>
        </w:tc>
      </w:tr>
      <w:tr>
        <w:trPr>
          <w:trHeight w:val="172"/>
        </w:trPr>
        <w:tc>
          <w:tcPr>
            <w:tcW w:w="3340" w:type="dxa"/>
            <w:vAlign w:val="bottom"/>
            <w:shd w:val="clear" w:color="auto" w:fill="CFF0FC"/>
          </w:tcPr>
          <w:p>
            <w:pPr>
              <w:spacing w:after="0" w:line="172" w:lineRule="exact"/>
              <w:rPr>
                <w:sz w:val="20"/>
                <w:szCs w:val="20"/>
                <w:color w:val="auto"/>
              </w:rPr>
            </w:pPr>
            <w:r>
              <w:rPr>
                <w:rFonts w:ascii="Times New Roman" w:cs="Times New Roman" w:eastAsia="Times New Roman" w:hAnsi="Times New Roman"/>
                <w:sz w:val="14"/>
                <w:szCs w:val="14"/>
                <w:color w:val="auto"/>
              </w:rPr>
              <w:t xml:space="preserve">Segment depreciation and amortization expense </w:t>
            </w:r>
            <w:r>
              <w:rPr>
                <w:rFonts w:ascii="Times New Roman" w:cs="Times New Roman" w:eastAsia="Times New Roman" w:hAnsi="Times New Roman"/>
                <w:sz w:val="19"/>
                <w:szCs w:val="19"/>
                <w:color w:val="auto"/>
                <w:vertAlign w:val="superscript"/>
              </w:rPr>
              <w:t>(3)</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80,992</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21,283</w:t>
            </w: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102,275</w:t>
            </w:r>
          </w:p>
        </w:tc>
        <w:tc>
          <w:tcPr>
            <w:tcW w:w="80" w:type="dxa"/>
            <w:vAlign w:val="bottom"/>
            <w:shd w:val="clear" w:color="auto" w:fill="CFF0FC"/>
          </w:tcPr>
          <w:p>
            <w:pPr>
              <w:spacing w:after="0"/>
              <w:rPr>
                <w:sz w:val="14"/>
                <w:szCs w:val="14"/>
                <w:color w:val="auto"/>
              </w:rPr>
            </w:pPr>
          </w:p>
        </w:tc>
      </w:tr>
      <w:tr>
        <w:trPr>
          <w:trHeight w:val="188"/>
        </w:trPr>
        <w:tc>
          <w:tcPr>
            <w:tcW w:w="3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Segment EBITDA</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381,405</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168,205</w:t>
            </w: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549,610</w:t>
            </w:r>
          </w:p>
        </w:tc>
        <w:tc>
          <w:tcPr>
            <w:tcW w:w="80" w:type="dxa"/>
            <w:vAlign w:val="bottom"/>
          </w:tcPr>
          <w:p>
            <w:pPr>
              <w:spacing w:after="0"/>
              <w:rPr>
                <w:sz w:val="16"/>
                <w:szCs w:val="16"/>
                <w:color w:val="auto"/>
              </w:rPr>
            </w:pPr>
          </w:p>
        </w:tc>
      </w:tr>
    </w:tbl>
    <w:p>
      <w:pPr>
        <w:spacing w:after="0" w:line="141" w:lineRule="exact"/>
        <w:rPr>
          <w:sz w:val="20"/>
          <w:szCs w:val="20"/>
          <w:color w:val="auto"/>
        </w:rPr>
      </w:pPr>
    </w:p>
    <w:p>
      <w:pPr>
        <w:ind w:left="980" w:right="679" w:hanging="342"/>
        <w:spacing w:after="0" w:line="266" w:lineRule="auto"/>
        <w:tabs>
          <w:tab w:leader="none" w:pos="9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direct costs primarily includes direct labor costs, delivery costs, insurance, and depreciation and amortization expense that relates to revenue-generating assets.</w:t>
      </w:r>
    </w:p>
    <w:p>
      <w:pPr>
        <w:ind w:left="980" w:right="919" w:hanging="342"/>
        <w:spacing w:after="0" w:line="256" w:lineRule="auto"/>
        <w:tabs>
          <w:tab w:leader="none" w:pos="9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Segment selling, general, and administrative expense includes indirect labor costs, depreciation and amortization, insurance, rent, lease, supplies, professional services, maintenance, repairs, utilities, and communications expense.</w:t>
      </w:r>
    </w:p>
    <w:p>
      <w:pPr>
        <w:ind w:left="980" w:right="839" w:hanging="342"/>
        <w:spacing w:after="0" w:line="272" w:lineRule="auto"/>
        <w:tabs>
          <w:tab w:leader="none" w:pos="9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segment depreciation and amortization expense is presented in other direct costs, costs of services, and segment general and administrative expenses, based on the associated asset.</w:t>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36" w:right="1440" w:bottom="1440" w:gutter="0" w:footer="0" w:header="0"/>
        </w:sectPr>
      </w:pPr>
    </w:p>
    <w:bookmarkStart w:id="26" w:name="page27"/>
    <w:bookmarkEnd w:id="26"/>
    <w:tbl>
      <w:tblPr>
        <w:tblLayout w:type="fixed"/>
        <w:tblInd w:w="120" w:type="dxa"/>
        <w:tblCellMar>
          <w:top w:w="0" w:type="dxa"/>
          <w:left w:w="0" w:type="dxa"/>
          <w:bottom w:w="0" w:type="dxa"/>
          <w:right w:w="0" w:type="dxa"/>
        </w:tblCellMar>
      </w:tblPr>
      <w:tr>
        <w:trPr>
          <w:trHeight w:val="126"/>
        </w:trPr>
        <w:tc>
          <w:tcPr>
            <w:tcW w:w="52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gridSpan w:val="4"/>
          </w:tcPr>
          <w:p>
            <w:pPr>
              <w:jc w:val="right"/>
              <w:ind w:right="90"/>
              <w:spacing w:after="0"/>
              <w:rPr>
                <w:sz w:val="20"/>
                <w:szCs w:val="20"/>
                <w:color w:val="auto"/>
              </w:rPr>
            </w:pPr>
            <w:r>
              <w:rPr>
                <w:rFonts w:ascii="Times New Roman" w:cs="Times New Roman" w:eastAsia="Times New Roman" w:hAnsi="Times New Roman"/>
                <w:sz w:val="11"/>
                <w:szCs w:val="11"/>
                <w:b w:val="1"/>
                <w:bCs w:val="1"/>
                <w:color w:val="auto"/>
              </w:rPr>
              <w:t>For the Three Months Ended</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20" w:type="dxa"/>
            <w:vAlign w:val="bottom"/>
            <w:gridSpan w:val="6"/>
          </w:tcPr>
          <w:p>
            <w:pPr>
              <w:ind w:left="60"/>
              <w:spacing w:after="0"/>
              <w:rPr>
                <w:sz w:val="20"/>
                <w:szCs w:val="20"/>
                <w:color w:val="auto"/>
              </w:rPr>
            </w:pPr>
            <w:r>
              <w:rPr>
                <w:rFonts w:ascii="Times New Roman" w:cs="Times New Roman" w:eastAsia="Times New Roman" w:hAnsi="Times New Roman"/>
                <w:sz w:val="11"/>
                <w:szCs w:val="11"/>
                <w:b w:val="1"/>
                <w:bCs w:val="1"/>
                <w:color w:val="auto"/>
              </w:rPr>
              <w:t>For the Nine Months Ended</w:t>
            </w:r>
          </w:p>
        </w:tc>
      </w:tr>
      <w:tr>
        <w:trPr>
          <w:trHeight w:val="137"/>
        </w:trPr>
        <w:tc>
          <w:tcPr>
            <w:tcW w:w="52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5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5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09"/>
        </w:trPr>
        <w:tc>
          <w:tcPr>
            <w:tcW w:w="520" w:type="dxa"/>
            <w:vAlign w:val="bottom"/>
          </w:tcPr>
          <w:p>
            <w:pPr>
              <w:spacing w:after="0"/>
              <w:rPr>
                <w:sz w:val="9"/>
                <w:szCs w:val="9"/>
                <w:color w:val="auto"/>
              </w:rPr>
            </w:pPr>
          </w:p>
        </w:tc>
        <w:tc>
          <w:tcPr>
            <w:tcW w:w="3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jc w:val="right"/>
              <w:ind w:right="213"/>
              <w:spacing w:after="0" w:line="109" w:lineRule="exact"/>
              <w:rPr>
                <w:sz w:val="20"/>
                <w:szCs w:val="20"/>
                <w:color w:val="auto"/>
              </w:rPr>
            </w:pPr>
            <w:r>
              <w:rPr>
                <w:rFonts w:ascii="Times New Roman" w:cs="Times New Roman" w:eastAsia="Times New Roman" w:hAnsi="Times New Roman"/>
                <w:sz w:val="11"/>
                <w:szCs w:val="11"/>
                <w:b w:val="1"/>
                <w:bCs w:val="1"/>
                <w:color w:val="auto"/>
              </w:rPr>
              <w:t>2026</w:t>
            </w:r>
          </w:p>
        </w:tc>
        <w:tc>
          <w:tcPr>
            <w:tcW w:w="16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jc w:val="right"/>
              <w:ind w:right="210"/>
              <w:spacing w:after="0" w:line="109" w:lineRule="exact"/>
              <w:rPr>
                <w:sz w:val="20"/>
                <w:szCs w:val="20"/>
                <w:color w:val="auto"/>
              </w:rPr>
            </w:pPr>
            <w:r>
              <w:rPr>
                <w:rFonts w:ascii="Times New Roman" w:cs="Times New Roman" w:eastAsia="Times New Roman" w:hAnsi="Times New Roman"/>
                <w:sz w:val="11"/>
                <w:szCs w:val="11"/>
                <w:b w:val="1"/>
                <w:bCs w:val="1"/>
                <w:color w:val="auto"/>
                <w:w w:val="99"/>
              </w:rPr>
              <w:t>2025</w:t>
            </w:r>
          </w:p>
        </w:tc>
        <w:tc>
          <w:tcPr>
            <w:tcW w:w="1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jc w:val="right"/>
              <w:ind w:right="213"/>
              <w:spacing w:after="0" w:line="109" w:lineRule="exact"/>
              <w:rPr>
                <w:sz w:val="20"/>
                <w:szCs w:val="20"/>
                <w:color w:val="auto"/>
              </w:rPr>
            </w:pPr>
            <w:r>
              <w:rPr>
                <w:rFonts w:ascii="Times New Roman" w:cs="Times New Roman" w:eastAsia="Times New Roman" w:hAnsi="Times New Roman"/>
                <w:sz w:val="11"/>
                <w:szCs w:val="11"/>
                <w:b w:val="1"/>
                <w:bCs w:val="1"/>
                <w:color w:val="auto"/>
              </w:rPr>
              <w:t>2026</w:t>
            </w:r>
          </w:p>
        </w:tc>
        <w:tc>
          <w:tcPr>
            <w:tcW w:w="16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jc w:val="right"/>
              <w:ind w:right="230"/>
              <w:spacing w:after="0" w:line="109" w:lineRule="exact"/>
              <w:rPr>
                <w:sz w:val="20"/>
                <w:szCs w:val="20"/>
                <w:color w:val="auto"/>
              </w:rPr>
            </w:pPr>
            <w:r>
              <w:rPr>
                <w:rFonts w:ascii="Times New Roman" w:cs="Times New Roman" w:eastAsia="Times New Roman" w:hAnsi="Times New Roman"/>
                <w:sz w:val="11"/>
                <w:szCs w:val="11"/>
                <w:b w:val="1"/>
                <w:bCs w:val="1"/>
                <w:color w:val="auto"/>
                <w:w w:val="90"/>
              </w:rPr>
              <w:t>2025</w:t>
            </w: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r>
      <w:tr>
        <w:trPr>
          <w:trHeight w:val="163"/>
        </w:trPr>
        <w:tc>
          <w:tcPr>
            <w:tcW w:w="520" w:type="dxa"/>
            <w:vAlign w:val="bottom"/>
          </w:tcPr>
          <w:p>
            <w:pPr>
              <w:spacing w:after="0"/>
              <w:rPr>
                <w:sz w:val="14"/>
                <w:szCs w:val="14"/>
                <w:color w:val="auto"/>
              </w:rPr>
            </w:pPr>
          </w:p>
        </w:tc>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i w:val="1"/>
                <w:iCs w:val="1"/>
                <w:color w:val="auto"/>
              </w:rPr>
              <w:t>Reconciliation of income:</w:t>
            </w: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20" w:type="dxa"/>
            <w:vAlign w:val="bottom"/>
          </w:tcPr>
          <w:p>
            <w:pPr>
              <w:spacing w:after="0"/>
              <w:rPr>
                <w:sz w:val="14"/>
                <w:szCs w:val="14"/>
                <w:color w:val="auto"/>
              </w:rPr>
            </w:pPr>
          </w:p>
        </w:tc>
      </w:tr>
      <w:tr>
        <w:trPr>
          <w:trHeight w:val="172"/>
        </w:trPr>
        <w:tc>
          <w:tcPr>
            <w:tcW w:w="520" w:type="dxa"/>
            <w:vAlign w:val="bottom"/>
          </w:tcPr>
          <w:p>
            <w:pPr>
              <w:spacing w:after="0"/>
              <w:rPr>
                <w:sz w:val="14"/>
                <w:szCs w:val="14"/>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4"/>
                <w:szCs w:val="14"/>
                <w:color w:val="auto"/>
              </w:rPr>
              <w:t>Total Segment EBITDA</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280,932</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201,656</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770,890</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549,610</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2"/>
        </w:trPr>
        <w:tc>
          <w:tcPr>
            <w:tcW w:w="520" w:type="dxa"/>
            <w:vAlign w:val="bottom"/>
          </w:tcPr>
          <w:p>
            <w:pPr>
              <w:spacing w:after="0"/>
              <w:rPr>
                <w:sz w:val="14"/>
                <w:szCs w:val="14"/>
                <w:color w:val="auto"/>
              </w:rPr>
            </w:pPr>
          </w:p>
        </w:tc>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Segment depreciation and amortization</w:t>
            </w: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30,794</w:t>
            </w:r>
          </w:p>
        </w:tc>
        <w:tc>
          <w:tcPr>
            <w:tcW w:w="1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33,791</w:t>
            </w: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97,367</w:t>
            </w:r>
          </w:p>
        </w:tc>
        <w:tc>
          <w:tcPr>
            <w:tcW w:w="1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102,275</w:t>
            </w:r>
          </w:p>
        </w:tc>
        <w:tc>
          <w:tcPr>
            <w:tcW w:w="80" w:type="dxa"/>
            <w:vAlign w:val="bottom"/>
            <w:shd w:val="clear" w:color="auto" w:fill="CFF0FC"/>
          </w:tcPr>
          <w:p>
            <w:pPr>
              <w:spacing w:after="0"/>
              <w:rPr>
                <w:sz w:val="14"/>
                <w:szCs w:val="14"/>
                <w:color w:val="auto"/>
              </w:rPr>
            </w:pPr>
          </w:p>
        </w:tc>
        <w:tc>
          <w:tcPr>
            <w:tcW w:w="520" w:type="dxa"/>
            <w:vAlign w:val="bottom"/>
          </w:tcPr>
          <w:p>
            <w:pPr>
              <w:spacing w:after="0"/>
              <w:rPr>
                <w:sz w:val="14"/>
                <w:szCs w:val="14"/>
                <w:color w:val="auto"/>
              </w:rPr>
            </w:pPr>
          </w:p>
        </w:tc>
      </w:tr>
      <w:tr>
        <w:trPr>
          <w:trHeight w:val="172"/>
        </w:trPr>
        <w:tc>
          <w:tcPr>
            <w:tcW w:w="520" w:type="dxa"/>
            <w:vAlign w:val="bottom"/>
          </w:tcPr>
          <w:p>
            <w:pPr>
              <w:spacing w:after="0"/>
              <w:rPr>
                <w:sz w:val="14"/>
                <w:szCs w:val="14"/>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4"/>
                <w:szCs w:val="14"/>
                <w:color w:val="auto"/>
              </w:rPr>
              <w:t>Expenses not allocated at segment level:</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2"/>
        </w:trPr>
        <w:tc>
          <w:tcPr>
            <w:tcW w:w="520" w:type="dxa"/>
            <w:vAlign w:val="bottom"/>
          </w:tcPr>
          <w:p>
            <w:pPr>
              <w:spacing w:after="0"/>
              <w:rPr>
                <w:sz w:val="14"/>
                <w:szCs w:val="14"/>
                <w:color w:val="auto"/>
              </w:rPr>
            </w:pPr>
          </w:p>
        </w:tc>
        <w:tc>
          <w:tcPr>
            <w:tcW w:w="32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82,080</w:t>
            </w:r>
          </w:p>
        </w:tc>
        <w:tc>
          <w:tcPr>
            <w:tcW w:w="1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73,060</w:t>
            </w: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239,681</w:t>
            </w:r>
          </w:p>
        </w:tc>
        <w:tc>
          <w:tcPr>
            <w:tcW w:w="1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239,047</w:t>
            </w:r>
          </w:p>
        </w:tc>
        <w:tc>
          <w:tcPr>
            <w:tcW w:w="80" w:type="dxa"/>
            <w:vAlign w:val="bottom"/>
            <w:shd w:val="clear" w:color="auto" w:fill="CFF0FC"/>
          </w:tcPr>
          <w:p>
            <w:pPr>
              <w:spacing w:after="0"/>
              <w:rPr>
                <w:sz w:val="14"/>
                <w:szCs w:val="14"/>
                <w:color w:val="auto"/>
              </w:rPr>
            </w:pPr>
          </w:p>
        </w:tc>
        <w:tc>
          <w:tcPr>
            <w:tcW w:w="520" w:type="dxa"/>
            <w:vAlign w:val="bottom"/>
          </w:tcPr>
          <w:p>
            <w:pPr>
              <w:spacing w:after="0"/>
              <w:rPr>
                <w:sz w:val="14"/>
                <w:szCs w:val="14"/>
                <w:color w:val="auto"/>
              </w:rPr>
            </w:pPr>
          </w:p>
        </w:tc>
      </w:tr>
      <w:tr>
        <w:trPr>
          <w:trHeight w:val="172"/>
        </w:trPr>
        <w:tc>
          <w:tcPr>
            <w:tcW w:w="520" w:type="dxa"/>
            <w:vAlign w:val="bottom"/>
          </w:tcPr>
          <w:p>
            <w:pPr>
              <w:spacing w:after="0"/>
              <w:rPr>
                <w:sz w:val="14"/>
                <w:szCs w:val="14"/>
                <w:color w:val="auto"/>
              </w:rPr>
            </w:pPr>
          </w:p>
        </w:tc>
        <w:tc>
          <w:tcPr>
            <w:tcW w:w="3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7,578</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6,962</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21,522</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21,149</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2"/>
        </w:trPr>
        <w:tc>
          <w:tcPr>
            <w:tcW w:w="520" w:type="dxa"/>
            <w:vAlign w:val="bottom"/>
          </w:tcPr>
          <w:p>
            <w:pPr>
              <w:spacing w:after="0"/>
              <w:rPr>
                <w:sz w:val="14"/>
                <w:szCs w:val="14"/>
                <w:color w:val="auto"/>
              </w:rPr>
            </w:pPr>
          </w:p>
        </w:tc>
        <w:tc>
          <w:tcPr>
            <w:tcW w:w="32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Interest expense, net</w:t>
            </w: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31,038</w:t>
            </w:r>
          </w:p>
        </w:tc>
        <w:tc>
          <w:tcPr>
            <w:tcW w:w="1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38,235</w:t>
            </w: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106,532</w:t>
            </w:r>
          </w:p>
        </w:tc>
        <w:tc>
          <w:tcPr>
            <w:tcW w:w="1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118,776</w:t>
            </w:r>
          </w:p>
        </w:tc>
        <w:tc>
          <w:tcPr>
            <w:tcW w:w="80" w:type="dxa"/>
            <w:vAlign w:val="bottom"/>
            <w:shd w:val="clear" w:color="auto" w:fill="CFF0FC"/>
          </w:tcPr>
          <w:p>
            <w:pPr>
              <w:spacing w:after="0"/>
              <w:rPr>
                <w:sz w:val="14"/>
                <w:szCs w:val="14"/>
                <w:color w:val="auto"/>
              </w:rPr>
            </w:pPr>
          </w:p>
        </w:tc>
        <w:tc>
          <w:tcPr>
            <w:tcW w:w="520" w:type="dxa"/>
            <w:vAlign w:val="bottom"/>
          </w:tcPr>
          <w:p>
            <w:pPr>
              <w:spacing w:after="0"/>
              <w:rPr>
                <w:sz w:val="14"/>
                <w:szCs w:val="14"/>
                <w:color w:val="auto"/>
              </w:rPr>
            </w:pPr>
          </w:p>
        </w:tc>
      </w:tr>
      <w:tr>
        <w:trPr>
          <w:trHeight w:val="172"/>
        </w:trPr>
        <w:tc>
          <w:tcPr>
            <w:tcW w:w="520" w:type="dxa"/>
            <w:vAlign w:val="bottom"/>
          </w:tcPr>
          <w:p>
            <w:pPr>
              <w:spacing w:after="0"/>
              <w:rPr>
                <w:sz w:val="14"/>
                <w:szCs w:val="14"/>
                <w:color w:val="auto"/>
              </w:rPr>
            </w:pPr>
          </w:p>
        </w:tc>
        <w:tc>
          <w:tcPr>
            <w:tcW w:w="3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Income tax expense</w:t>
            </w:r>
          </w:p>
        </w:tc>
        <w:tc>
          <w:tcPr>
            <w:tcW w:w="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28,640</w:t>
            </w:r>
          </w:p>
        </w:tc>
        <w:tc>
          <w:tcPr>
            <w:tcW w:w="1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12,120</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44,099</w:t>
            </w:r>
          </w:p>
        </w:tc>
        <w:tc>
          <w:tcPr>
            <w:tcW w:w="1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13,118</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203"/>
        </w:trPr>
        <w:tc>
          <w:tcPr>
            <w:tcW w:w="520" w:type="dxa"/>
            <w:vAlign w:val="bottom"/>
          </w:tcPr>
          <w:p>
            <w:pPr>
              <w:spacing w:after="0"/>
              <w:rPr>
                <w:sz w:val="17"/>
                <w:szCs w:val="17"/>
                <w:color w:val="auto"/>
              </w:rPr>
            </w:pPr>
          </w:p>
        </w:tc>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income from continuing operations</w:t>
            </w: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100,802</w:t>
            </w:r>
          </w:p>
        </w:tc>
        <w:tc>
          <w:tcPr>
            <w:tcW w:w="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37,488</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261,689</w:t>
            </w:r>
          </w:p>
        </w:tc>
        <w:tc>
          <w:tcPr>
            <w:tcW w:w="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55,245</w:t>
            </w:r>
          </w:p>
        </w:tc>
        <w:tc>
          <w:tcPr>
            <w:tcW w:w="80" w:type="dxa"/>
            <w:vAlign w:val="bottom"/>
            <w:shd w:val="clear" w:color="auto" w:fill="CFF0FC"/>
          </w:tcPr>
          <w:p>
            <w:pPr>
              <w:spacing w:after="0"/>
              <w:rPr>
                <w:sz w:val="17"/>
                <w:szCs w:val="17"/>
                <w:color w:val="auto"/>
              </w:rPr>
            </w:pPr>
          </w:p>
        </w:tc>
        <w:tc>
          <w:tcPr>
            <w:tcW w:w="520" w:type="dxa"/>
            <w:vAlign w:val="bottom"/>
          </w:tcPr>
          <w:p>
            <w:pPr>
              <w:spacing w:after="0"/>
              <w:rPr>
                <w:sz w:val="17"/>
                <w:szCs w:val="17"/>
                <w:color w:val="auto"/>
              </w:rPr>
            </w:pPr>
          </w:p>
        </w:tc>
      </w:tr>
      <w:tr>
        <w:trPr>
          <w:trHeight w:val="487"/>
        </w:trPr>
        <w:tc>
          <w:tcPr>
            <w:tcW w:w="520" w:type="dxa"/>
            <w:vAlign w:val="bottom"/>
          </w:tcPr>
          <w:p>
            <w:pPr>
              <w:spacing w:after="0"/>
              <w:rPr>
                <w:sz w:val="24"/>
                <w:szCs w:val="24"/>
                <w:color w:val="auto"/>
              </w:rPr>
            </w:pPr>
          </w:p>
        </w:tc>
        <w:tc>
          <w:tcPr>
            <w:tcW w:w="3260" w:type="dxa"/>
            <w:vAlign w:val="bottom"/>
            <w:tcBorders>
              <w:top w:val="single" w:sz="8" w:color="CFF0FC"/>
            </w:tcBorders>
          </w:tcPr>
          <w:p>
            <w:pPr>
              <w:spacing w:after="0"/>
              <w:rPr>
                <w:sz w:val="24"/>
                <w:szCs w:val="24"/>
                <w:color w:val="auto"/>
              </w:rPr>
            </w:pPr>
          </w:p>
        </w:tc>
        <w:tc>
          <w:tcPr>
            <w:tcW w:w="74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520" w:type="dxa"/>
            <w:vAlign w:val="bottom"/>
          </w:tcPr>
          <w:p>
            <w:pPr>
              <w:spacing w:after="0"/>
              <w:rPr>
                <w:sz w:val="24"/>
                <w:szCs w:val="24"/>
                <w:color w:val="auto"/>
              </w:rPr>
            </w:pPr>
          </w:p>
        </w:tc>
      </w:tr>
      <w:tr>
        <w:trPr>
          <w:trHeight w:val="604"/>
        </w:trPr>
        <w:tc>
          <w:tcPr>
            <w:tcW w:w="520" w:type="dxa"/>
            <w:vAlign w:val="bottom"/>
            <w:tcBorders>
              <w:bottom w:val="single" w:sz="8" w:color="9A9A9A"/>
            </w:tcBorders>
          </w:tcPr>
          <w:p>
            <w:pPr>
              <w:spacing w:after="0"/>
              <w:rPr>
                <w:sz w:val="24"/>
                <w:szCs w:val="24"/>
                <w:color w:val="auto"/>
              </w:rPr>
            </w:pPr>
          </w:p>
        </w:tc>
        <w:tc>
          <w:tcPr>
            <w:tcW w:w="32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5629910</wp:posOffset>
            </wp:positionH>
            <wp:positionV relativeFrom="paragraph">
              <wp:posOffset>-25400</wp:posOffset>
            </wp:positionV>
            <wp:extent cx="3238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58420</wp:posOffset>
            </wp:positionH>
            <wp:positionV relativeFrom="paragraph">
              <wp:posOffset>-25400</wp:posOffset>
            </wp:positionV>
            <wp:extent cx="3238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3446780</wp:posOffset>
            </wp:positionH>
            <wp:positionV relativeFrom="paragraph">
              <wp:posOffset>-742950</wp:posOffset>
            </wp:positionV>
            <wp:extent cx="47625" cy="698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3446780</wp:posOffset>
            </wp:positionH>
            <wp:positionV relativeFrom="paragraph">
              <wp:posOffset>-728980</wp:posOffset>
            </wp:positionV>
            <wp:extent cx="47625" cy="698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4053205</wp:posOffset>
            </wp:positionH>
            <wp:positionV relativeFrom="paragraph">
              <wp:posOffset>-742950</wp:posOffset>
            </wp:positionV>
            <wp:extent cx="47625" cy="698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4053205</wp:posOffset>
            </wp:positionH>
            <wp:positionV relativeFrom="paragraph">
              <wp:posOffset>-728980</wp:posOffset>
            </wp:positionV>
            <wp:extent cx="47625" cy="698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4660265</wp:posOffset>
            </wp:positionH>
            <wp:positionV relativeFrom="paragraph">
              <wp:posOffset>-742950</wp:posOffset>
            </wp:positionV>
            <wp:extent cx="47625" cy="698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4660265</wp:posOffset>
            </wp:positionH>
            <wp:positionV relativeFrom="paragraph">
              <wp:posOffset>-728980</wp:posOffset>
            </wp:positionV>
            <wp:extent cx="47625" cy="698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-742950</wp:posOffset>
            </wp:positionV>
            <wp:extent cx="47625" cy="698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-728980</wp:posOffset>
            </wp:positionV>
            <wp:extent cx="47625" cy="698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ectPr>
          <w:pgSz w:w="11900" w:h="16838" w:orient="portrait"/>
          <w:cols w:equalWidth="0" w:num="1">
            <w:col w:w="9019"/>
          </w:cols>
          <w:pgMar w:left="1440" w:top="885" w:right="1440" w:bottom="1440" w:gutter="0" w:footer="0" w:header="0"/>
        </w:sectPr>
      </w:pPr>
    </w:p>
    <w:bookmarkStart w:id="27" w:name="page28"/>
    <w:bookmarkEnd w:id="27"/>
    <w:p>
      <w:pPr>
        <w:ind w:left="640"/>
        <w:spacing w:after="0"/>
        <w:rPr>
          <w:sz w:val="20"/>
          <w:szCs w:val="20"/>
          <w:color w:val="auto"/>
        </w:rPr>
      </w:pPr>
      <w:r>
        <w:rPr>
          <w:rFonts w:ascii="Times New Roman" w:cs="Times New Roman" w:eastAsia="Times New Roman" w:hAnsi="Times New Roman"/>
          <w:sz w:val="14"/>
          <w:szCs w:val="14"/>
          <w:b w:val="1"/>
          <w:bCs w:val="1"/>
          <w:color w:val="auto"/>
        </w:rPr>
        <w:t>Item 2. Management’s Discussion and Analysis of Financial Condition and Results of Operations.</w:t>
      </w:r>
    </w:p>
    <w:p>
      <w:pPr>
        <w:spacing w:after="0" w:line="97" w:lineRule="exact"/>
        <w:rPr>
          <w:sz w:val="20"/>
          <w:szCs w:val="20"/>
          <w:color w:val="auto"/>
        </w:rPr>
      </w:pPr>
    </w:p>
    <w:p>
      <w:pPr>
        <w:ind w:left="640" w:right="699" w:firstLine="351"/>
        <w:spacing w:after="0" w:line="260" w:lineRule="auto"/>
        <w:rPr>
          <w:sz w:val="20"/>
          <w:szCs w:val="20"/>
          <w:color w:val="auto"/>
        </w:rPr>
      </w:pPr>
      <w:r>
        <w:rPr>
          <w:rFonts w:ascii="Times New Roman" w:cs="Times New Roman" w:eastAsia="Times New Roman" w:hAnsi="Times New Roman"/>
          <w:sz w:val="14"/>
          <w:szCs w:val="14"/>
          <w:i w:val="1"/>
          <w:iCs w:val="1"/>
          <w:color w:val="auto"/>
        </w:rPr>
        <w:t>The following discussion analyzes our financial condition and results of operations and should be read in conjunction with our unaudited condensed consolidated financial statements and related notes included elsewhere in this Quarterly Report on Form 10-Q (our “Form 10-Q”). This discussion contains forward-looking statements that involve risks and uncertainties. See “Forward-Looking Statements.” When reviewing the discussion below, you should keep in mind the substantial risks and uncertainties that characterize our business. Known material factors that could affect our financial performance and actual results, and could cause actual results to differ materially from those expressed or implied in any forward-looking statements included in this discussion or otherwise made by our management, are described in Item 2 of Part I of this Form 10-Q, and in Item 1A, “Risk Factors” of Part I of our Annual Report on Form 10-K for the year ended December 31, 2025 (our “Form 10-K”). Factors that could cause or contribute to such difference are not limited to those identified in “Risk Factors.” When used in the following discussion, “Senior” patients and populations mean individuals who are aged 65 and older, and “Specialty” patients and populations mean individuals who have unique, specialized and most often chronic/life-long health conditions and needs.</w:t>
      </w:r>
    </w:p>
    <w:p>
      <w:pPr>
        <w:spacing w:after="0" w:line="14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99" w:lineRule="exact"/>
        <w:rPr>
          <w:sz w:val="20"/>
          <w:szCs w:val="20"/>
          <w:color w:val="auto"/>
        </w:rPr>
      </w:pPr>
    </w:p>
    <w:p>
      <w:pPr>
        <w:ind w:left="640" w:right="679" w:firstLine="351"/>
        <w:spacing w:after="0" w:line="260" w:lineRule="auto"/>
        <w:rPr>
          <w:sz w:val="20"/>
          <w:szCs w:val="20"/>
          <w:color w:val="auto"/>
        </w:rPr>
      </w:pPr>
      <w:r>
        <w:rPr>
          <w:rFonts w:ascii="Times New Roman" w:cs="Times New Roman" w:eastAsia="Times New Roman" w:hAnsi="Times New Roman"/>
          <w:sz w:val="14"/>
          <w:szCs w:val="14"/>
          <w:color w:val="auto"/>
        </w:rPr>
        <w:t>We are a leading home and community-based healthcare services platform, focused on delivering complementary pharmacy and provider services to medically complex patients. We have a differentiated approach to care delivery, with an integrated and scaled model that addresses critical services that the highest-need and highest-cost patients require. With a focus on Senior and Specialty patients, our platform provides pharmacy and provider services (both clinical and supportive care in nature) in lower-cost home and community settings largely to Medicare, Medicaid, and commercially-insured populations. We are an essential part of our nation’s health delivery network as a front-line provider of high-quality and cost-effective care to a large and growing number of people, who increasingly require a combination of specialized solutions to enable holistic health care management. Our presence spans all 50 states; we serve approximately 500,000 patients daily through our approximately 12,700 clinical providers and pharmacists; and our services make a profound impact in the lives and communities of the people we serve.</w:t>
      </w:r>
    </w:p>
    <w:p>
      <w:pPr>
        <w:spacing w:after="0" w:line="63" w:lineRule="exact"/>
        <w:rPr>
          <w:sz w:val="20"/>
          <w:szCs w:val="20"/>
          <w:color w:val="auto"/>
        </w:rPr>
      </w:pPr>
    </w:p>
    <w:p>
      <w:pPr>
        <w:ind w:left="640" w:right="759" w:firstLine="516"/>
        <w:spacing w:after="0" w:line="268" w:lineRule="auto"/>
        <w:rPr>
          <w:sz w:val="20"/>
          <w:szCs w:val="20"/>
          <w:color w:val="auto"/>
        </w:rPr>
      </w:pPr>
      <w:r>
        <w:rPr>
          <w:rFonts w:ascii="Times New Roman" w:cs="Times New Roman" w:eastAsia="Times New Roman" w:hAnsi="Times New Roman"/>
          <w:sz w:val="14"/>
          <w:szCs w:val="14"/>
          <w:color w:val="auto"/>
        </w:rPr>
        <w:t>Unless otherwise noted, amounts and disclosures throughout this Management’s Discussion and Analysis relate to our continuing operations. Refer to Note 2 to our unaudited condensed consolidated financial statements included in Part I, Item 1 of this Form 10-Q and Note 2 to our audited consolidated financial statements included in Part II, Item 8 of our Form 10-K for additional information regarding discontinued operations.</w:t>
      </w:r>
    </w:p>
    <w:p>
      <w:pPr>
        <w:spacing w:after="0" w:line="5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For additional overview of our business, see Part I - Item 1. “Business” of our Form 10-K.</w:t>
      </w:r>
    </w:p>
    <w:p>
      <w:pPr>
        <w:spacing w:after="0" w:line="26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Third Quarter of 2026 Key Highlights</w:t>
      </w:r>
    </w:p>
    <w:p>
      <w:pPr>
        <w:spacing w:after="0" w:line="97" w:lineRule="exact"/>
        <w:rPr>
          <w:sz w:val="20"/>
          <w:szCs w:val="20"/>
          <w:color w:val="auto"/>
        </w:rPr>
      </w:pPr>
    </w:p>
    <w:p>
      <w:pPr>
        <w:ind w:left="1340" w:hanging="352"/>
        <w:spacing w:after="0"/>
        <w:tabs>
          <w:tab w:leader="none" w:pos="13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Company leverage of 1.79x at September 30, 2026</w:t>
      </w:r>
    </w:p>
    <w:p>
      <w:pPr>
        <w:spacing w:after="0" w:line="26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Financial Performance Highlights: Third Quarter of 2026 Compared to Third Quarter of 2025</w:t>
      </w:r>
    </w:p>
    <w:p>
      <w:pPr>
        <w:spacing w:after="0" w:line="97" w:lineRule="exact"/>
        <w:rPr>
          <w:sz w:val="20"/>
          <w:szCs w:val="20"/>
          <w:color w:val="auto"/>
        </w:rPr>
      </w:pPr>
    </w:p>
    <w:p>
      <w:pPr>
        <w:ind w:left="1340" w:hanging="352"/>
        <w:spacing w:after="0"/>
        <w:tabs>
          <w:tab w:leader="none" w:pos="1340"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Revenue grew by $879.1 million, or 26.4%, to $4.2 billion</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Pharmacy Solutions segment revenue grew by $765.5 million, or 25.8%, to $3.7 billion</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Provider Services segment revenue grew by $113.7 million, or 31.0%, to $480.8 million</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Net income from continuing operations increased by $63.3 million to $100.8 million</w:t>
      </w:r>
    </w:p>
    <w:p>
      <w:pPr>
        <w:spacing w:after="0" w:line="107"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Adjusted EBITDA</w:t>
      </w:r>
      <w:r>
        <w:rPr>
          <w:rFonts w:ascii="Times New Roman" w:cs="Times New Roman" w:eastAsia="Times New Roman" w:hAnsi="Times New Roman"/>
          <w:sz w:val="19"/>
          <w:szCs w:val="19"/>
          <w:i w:val="1"/>
          <w:iCs w:val="1"/>
          <w:color w:val="auto"/>
          <w:vertAlign w:val="superscript"/>
        </w:rPr>
        <w:t>(1)</w:t>
      </w:r>
      <w:r>
        <w:rPr>
          <w:rFonts w:ascii="Times New Roman" w:cs="Times New Roman" w:eastAsia="Times New Roman" w:hAnsi="Times New Roman"/>
          <w:sz w:val="14"/>
          <w:szCs w:val="14"/>
          <w:i w:val="1"/>
          <w:iCs w:val="1"/>
          <w:color w:val="auto"/>
        </w:rPr>
        <w:t xml:space="preserve"> increased by $67.3 million, or 42.0%, to $227.8 million</w:t>
      </w:r>
    </w:p>
    <w:p>
      <w:pPr>
        <w:spacing w:after="0" w:line="40"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Pharmacy Solutions segment EBITDA increased by $61.0 million, or 43.3%, to $202.0 million</w:t>
      </w:r>
    </w:p>
    <w:p>
      <w:pPr>
        <w:spacing w:after="0" w:line="95"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Provider Services segment EBITDA grew by $18.3 million, or 30.1%, to $79.0 million</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Diluted EPS increased by $0.29 from $0.17 to $0.46</w:t>
      </w:r>
    </w:p>
    <w:p>
      <w:pPr>
        <w:spacing w:after="0" w:line="107"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Adjusted EPS</w:t>
      </w:r>
      <w:r>
        <w:rPr>
          <w:rFonts w:ascii="Times New Roman" w:cs="Times New Roman" w:eastAsia="Times New Roman" w:hAnsi="Times New Roman"/>
          <w:sz w:val="19"/>
          <w:szCs w:val="19"/>
          <w:i w:val="1"/>
          <w:iCs w:val="1"/>
          <w:color w:val="auto"/>
          <w:vertAlign w:val="superscript"/>
        </w:rPr>
        <w:t>(1)</w:t>
      </w:r>
      <w:r>
        <w:rPr>
          <w:rFonts w:ascii="Times New Roman" w:cs="Times New Roman" w:eastAsia="Times New Roman" w:hAnsi="Times New Roman"/>
          <w:sz w:val="14"/>
          <w:szCs w:val="14"/>
          <w:i w:val="1"/>
          <w:iCs w:val="1"/>
          <w:color w:val="auto"/>
        </w:rPr>
        <w:t xml:space="preserve"> increased by $0.24 from $0.30 to $0.54</w:t>
      </w:r>
    </w:p>
    <w:p>
      <w:pPr>
        <w:spacing w:after="0" w:line="116" w:lineRule="exact"/>
        <w:rPr>
          <w:rFonts w:ascii="Times New Roman" w:cs="Times New Roman" w:eastAsia="Times New Roman" w:hAnsi="Times New Roman"/>
          <w:sz w:val="14"/>
          <w:szCs w:val="14"/>
          <w:color w:val="auto"/>
        </w:rPr>
      </w:pPr>
    </w:p>
    <w:p>
      <w:pPr>
        <w:ind w:left="780" w:hanging="142"/>
        <w:spacing w:after="0"/>
        <w:tabs>
          <w:tab w:leader="none" w:pos="780" w:val="left"/>
        </w:tabs>
        <w:numPr>
          <w:ilvl w:val="0"/>
          <w:numId w:val="12"/>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Reconciliation of GAAP to non-GAAP results is provided below under the section entitled “Non-GAAP Financial Measures.”</w:t>
      </w:r>
    </w:p>
    <w:p>
      <w:pPr>
        <w:spacing w:after="0" w:line="24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Our Service Offerings</w:t>
      </w:r>
    </w:p>
    <w:p>
      <w:pPr>
        <w:spacing w:after="0" w:line="99" w:lineRule="exact"/>
        <w:rPr>
          <w:sz w:val="20"/>
          <w:szCs w:val="20"/>
          <w:color w:val="auto"/>
        </w:rPr>
      </w:pPr>
    </w:p>
    <w:p>
      <w:pPr>
        <w:ind w:left="640" w:right="779" w:firstLine="351"/>
        <w:spacing w:after="0" w:line="292" w:lineRule="auto"/>
        <w:rPr>
          <w:sz w:val="20"/>
          <w:szCs w:val="20"/>
          <w:color w:val="auto"/>
        </w:rPr>
      </w:pPr>
      <w:r>
        <w:rPr>
          <w:rFonts w:ascii="Times New Roman" w:cs="Times New Roman" w:eastAsia="Times New Roman" w:hAnsi="Times New Roman"/>
          <w:sz w:val="14"/>
          <w:szCs w:val="14"/>
          <w:color w:val="auto"/>
        </w:rPr>
        <w:t>We are one of the largest independent providers of home and community-based health services in the United States, delivering both pharmacy and provider services. We believe our high-quality and complementary health services offerings address significant</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96" w:right="1440" w:bottom="1440" w:gutter="0" w:footer="0" w:header="0"/>
        </w:sectPr>
      </w:pPr>
    </w:p>
    <w:bookmarkStart w:id="28" w:name="page29"/>
    <w:bookmarkEnd w:id="28"/>
    <w:p>
      <w:pPr>
        <w:ind w:left="640" w:right="819"/>
        <w:spacing w:after="0" w:line="263" w:lineRule="auto"/>
        <w:rPr>
          <w:sz w:val="20"/>
          <w:szCs w:val="20"/>
          <w:color w:val="auto"/>
        </w:rPr>
      </w:pPr>
      <w:r>
        <w:rPr>
          <w:rFonts w:ascii="Times New Roman" w:cs="Times New Roman" w:eastAsia="Times New Roman" w:hAnsi="Times New Roman"/>
          <w:sz w:val="14"/>
          <w:szCs w:val="14"/>
          <w:color w:val="auto"/>
        </w:rPr>
        <w:t>and important patient and stakeholder needs. We enhance patient outcomes through the delivery and coordination of high-quality services that high-need, high-cost patients require. Our services are principally delivered in patient-preferred and lower-cost settings and often over longer periods of time, given the chronic nature of the patient conditions that we address. We believe our breadth of service capabilities and proven outcomes position us as a provider of choice for patients, families, referral sources, customers, and payors. We deliver services through two reportable segments: Pharmacy Solutions and Provider Services. For additional details regarding our diversified service offerings within each reportable segment see Part I - Item 1. “Business” of our Form 10-K.</w:t>
      </w:r>
    </w:p>
    <w:p>
      <w:pPr>
        <w:spacing w:after="0" w:line="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The following table summarizes the revenues generated by each of our reportable segments:</w:t>
      </w:r>
    </w:p>
    <w:p>
      <w:pPr>
        <w:spacing w:after="0" w:line="191" w:lineRule="exact"/>
        <w:rPr>
          <w:sz w:val="20"/>
          <w:szCs w:val="20"/>
          <w:color w:val="auto"/>
        </w:rPr>
      </w:pPr>
    </w:p>
    <w:tbl>
      <w:tblPr>
        <w:tblLayout w:type="fixed"/>
        <w:tblInd w:w="640" w:type="dxa"/>
        <w:tblCellMar>
          <w:top w:w="0" w:type="dxa"/>
          <w:left w:w="0" w:type="dxa"/>
          <w:bottom w:w="0" w:type="dxa"/>
          <w:right w:w="0" w:type="dxa"/>
        </w:tblCellMar>
      </w:tblPr>
      <w:tr>
        <w:trPr>
          <w:trHeight w:val="126"/>
        </w:trPr>
        <w:tc>
          <w:tcPr>
            <w:tcW w:w="1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80" w:type="dxa"/>
            <w:vAlign w:val="bottom"/>
            <w:gridSpan w:val="6"/>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For the Three Months Ended</w:t>
            </w: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60" w:type="dxa"/>
            <w:vAlign w:val="bottom"/>
            <w:gridSpan w:val="6"/>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For the Nine Months Ended</w:t>
            </w: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7"/>
        </w:trPr>
        <w:tc>
          <w:tcPr>
            <w:tcW w:w="16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gridSpan w:val="5"/>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54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gridSpan w:val="4"/>
          </w:tcPr>
          <w:p>
            <w:pPr>
              <w:jc w:val="right"/>
              <w:ind w:right="600"/>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50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r>
      <w:tr>
        <w:trPr>
          <w:trHeight w:val="109"/>
        </w:trPr>
        <w:tc>
          <w:tcPr>
            <w:tcW w:w="16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gridSpan w:val="2"/>
          </w:tcPr>
          <w:p>
            <w:pPr>
              <w:jc w:val="right"/>
              <w:spacing w:after="0" w:line="109" w:lineRule="exact"/>
              <w:rPr>
                <w:sz w:val="20"/>
                <w:szCs w:val="20"/>
                <w:color w:val="auto"/>
              </w:rPr>
            </w:pPr>
            <w:r>
              <w:rPr>
                <w:rFonts w:ascii="Times New Roman" w:cs="Times New Roman" w:eastAsia="Times New Roman" w:hAnsi="Times New Roman"/>
                <w:sz w:val="11"/>
                <w:szCs w:val="11"/>
                <w:b w:val="1"/>
                <w:bCs w:val="1"/>
                <w:color w:val="auto"/>
              </w:rPr>
              <w:t>2026</w:t>
            </w: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gridSpan w:val="2"/>
          </w:tcPr>
          <w:p>
            <w:pPr>
              <w:jc w:val="right"/>
              <w:ind w:right="20"/>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gridSpan w:val="3"/>
          </w:tcPr>
          <w:p>
            <w:pPr>
              <w:jc w:val="right"/>
              <w:ind w:right="20"/>
              <w:spacing w:after="0" w:line="109" w:lineRule="exact"/>
              <w:rPr>
                <w:sz w:val="20"/>
                <w:szCs w:val="20"/>
                <w:color w:val="auto"/>
              </w:rPr>
            </w:pPr>
            <w:r>
              <w:rPr>
                <w:rFonts w:ascii="Times New Roman" w:cs="Times New Roman" w:eastAsia="Times New Roman" w:hAnsi="Times New Roman"/>
                <w:sz w:val="11"/>
                <w:szCs w:val="11"/>
                <w:b w:val="1"/>
                <w:bCs w:val="1"/>
                <w:color w:val="auto"/>
              </w:rPr>
              <w:t>2026</w:t>
            </w: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gridSpan w:val="2"/>
          </w:tcPr>
          <w:p>
            <w:pPr>
              <w:jc w:val="right"/>
              <w:ind w:right="20"/>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r>
      <w:tr>
        <w:trPr>
          <w:trHeight w:val="90"/>
        </w:trPr>
        <w:tc>
          <w:tcPr>
            <w:tcW w:w="168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520" w:type="dxa"/>
            <w:vAlign w:val="bottom"/>
            <w:tcBorders>
              <w:top w:val="single" w:sz="8" w:color="auto"/>
            </w:tcBorders>
          </w:tcPr>
          <w:p>
            <w:pPr>
              <w:jc w:val="center"/>
              <w:spacing w:after="0" w:line="90" w:lineRule="exact"/>
              <w:rPr>
                <w:sz w:val="20"/>
                <w:szCs w:val="20"/>
                <w:color w:val="auto"/>
              </w:rPr>
            </w:pPr>
            <w:r>
              <w:rPr>
                <w:rFonts w:ascii="Times New Roman" w:cs="Times New Roman" w:eastAsia="Times New Roman" w:hAnsi="Times New Roman"/>
                <w:sz w:val="10"/>
                <w:szCs w:val="10"/>
                <w:b w:val="1"/>
                <w:bCs w:val="1"/>
                <w:color w:val="auto"/>
              </w:rPr>
              <w:t>% of</w:t>
            </w:r>
          </w:p>
        </w:tc>
        <w:tc>
          <w:tcPr>
            <w:tcW w:w="20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540" w:type="dxa"/>
            <w:vAlign w:val="bottom"/>
            <w:tcBorders>
              <w:top w:val="single" w:sz="8" w:color="auto"/>
            </w:tcBorders>
          </w:tcPr>
          <w:p>
            <w:pPr>
              <w:jc w:val="center"/>
              <w:spacing w:after="0" w:line="90" w:lineRule="exact"/>
              <w:rPr>
                <w:sz w:val="20"/>
                <w:szCs w:val="20"/>
                <w:color w:val="auto"/>
              </w:rPr>
            </w:pPr>
            <w:r>
              <w:rPr>
                <w:rFonts w:ascii="Times New Roman" w:cs="Times New Roman" w:eastAsia="Times New Roman" w:hAnsi="Times New Roman"/>
                <w:sz w:val="10"/>
                <w:szCs w:val="10"/>
                <w:b w:val="1"/>
                <w:bCs w:val="1"/>
                <w:color w:val="auto"/>
              </w:rPr>
              <w:t>% of</w:t>
            </w:r>
          </w:p>
        </w:tc>
        <w:tc>
          <w:tcPr>
            <w:tcW w:w="220" w:type="dxa"/>
            <w:vAlign w:val="bottom"/>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580" w:type="dxa"/>
            <w:vAlign w:val="bottom"/>
            <w:tcBorders>
              <w:top w:val="single" w:sz="8" w:color="auto"/>
            </w:tcBorders>
          </w:tcPr>
          <w:p>
            <w:pPr>
              <w:jc w:val="center"/>
              <w:ind w:right="37"/>
              <w:spacing w:after="0" w:line="90" w:lineRule="exact"/>
              <w:rPr>
                <w:sz w:val="20"/>
                <w:szCs w:val="20"/>
                <w:color w:val="auto"/>
              </w:rPr>
            </w:pPr>
            <w:r>
              <w:rPr>
                <w:rFonts w:ascii="Times New Roman" w:cs="Times New Roman" w:eastAsia="Times New Roman" w:hAnsi="Times New Roman"/>
                <w:sz w:val="10"/>
                <w:szCs w:val="10"/>
                <w:b w:val="1"/>
                <w:bCs w:val="1"/>
                <w:color w:val="auto"/>
              </w:rPr>
              <w:t>% of</w:t>
            </w:r>
          </w:p>
        </w:tc>
        <w:tc>
          <w:tcPr>
            <w:tcW w:w="22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jc w:val="center"/>
              <w:ind w:right="35"/>
              <w:spacing w:after="0" w:line="90" w:lineRule="exact"/>
              <w:rPr>
                <w:sz w:val="20"/>
                <w:szCs w:val="20"/>
                <w:color w:val="auto"/>
              </w:rPr>
            </w:pPr>
            <w:r>
              <w:rPr>
                <w:rFonts w:ascii="Times New Roman" w:cs="Times New Roman" w:eastAsia="Times New Roman" w:hAnsi="Times New Roman"/>
                <w:sz w:val="10"/>
                <w:szCs w:val="10"/>
                <w:b w:val="1"/>
                <w:bCs w:val="1"/>
                <w:color w:val="auto"/>
              </w:rPr>
              <w:t>% of</w:t>
            </w:r>
          </w:p>
        </w:tc>
        <w:tc>
          <w:tcPr>
            <w:tcW w:w="140" w:type="dxa"/>
            <w:vAlign w:val="bottom"/>
          </w:tcPr>
          <w:p>
            <w:pPr>
              <w:spacing w:after="0"/>
              <w:rPr>
                <w:sz w:val="7"/>
                <w:szCs w:val="7"/>
                <w:color w:val="auto"/>
              </w:rPr>
            </w:pPr>
          </w:p>
        </w:tc>
      </w:tr>
      <w:tr>
        <w:trPr>
          <w:trHeight w:val="137"/>
        </w:trPr>
        <w:tc>
          <w:tcPr>
            <w:tcW w:w="168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 in millions)</w:t>
            </w: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1"/>
                <w:szCs w:val="11"/>
                <w:b w:val="1"/>
                <w:bCs w:val="1"/>
                <w:color w:val="auto"/>
                <w:w w:val="99"/>
              </w:rPr>
              <w:t>Revenue</w:t>
            </w:r>
          </w:p>
        </w:tc>
        <w:tc>
          <w:tcPr>
            <w:tcW w:w="160" w:type="dxa"/>
            <w:vAlign w:val="bottom"/>
          </w:tcPr>
          <w:p>
            <w:pPr>
              <w:spacing w:after="0"/>
              <w:rPr>
                <w:sz w:val="11"/>
                <w:szCs w:val="11"/>
                <w:color w:val="auto"/>
              </w:rPr>
            </w:pP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Revenue</w:t>
            </w:r>
          </w:p>
        </w:tc>
        <w:tc>
          <w:tcPr>
            <w:tcW w:w="2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1"/>
                <w:szCs w:val="11"/>
                <w:b w:val="1"/>
                <w:bCs w:val="1"/>
                <w:color w:val="auto"/>
              </w:rPr>
              <w:t>Revenue</w:t>
            </w:r>
          </w:p>
        </w:tc>
        <w:tc>
          <w:tcPr>
            <w:tcW w:w="200" w:type="dxa"/>
            <w:vAlign w:val="bottom"/>
          </w:tcPr>
          <w:p>
            <w:pPr>
              <w:spacing w:after="0"/>
              <w:rPr>
                <w:sz w:val="11"/>
                <w:szCs w:val="11"/>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Revenue</w:t>
            </w:r>
          </w:p>
        </w:tc>
        <w:tc>
          <w:tcPr>
            <w:tcW w:w="220" w:type="dxa"/>
            <w:vAlign w:val="bottom"/>
          </w:tcPr>
          <w:p>
            <w:pPr>
              <w:spacing w:after="0"/>
              <w:rPr>
                <w:sz w:val="11"/>
                <w:szCs w:val="11"/>
                <w:color w:val="auto"/>
              </w:rPr>
            </w:pPr>
          </w:p>
        </w:tc>
        <w:tc>
          <w:tcPr>
            <w:tcW w:w="6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1"/>
                <w:szCs w:val="11"/>
                <w:b w:val="1"/>
                <w:bCs w:val="1"/>
                <w:color w:val="auto"/>
              </w:rPr>
              <w:t>Revenue</w:t>
            </w:r>
          </w:p>
        </w:tc>
        <w:tc>
          <w:tcPr>
            <w:tcW w:w="1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1"/>
                <w:szCs w:val="11"/>
                <w:b w:val="1"/>
                <w:bCs w:val="1"/>
                <w:color w:val="auto"/>
              </w:rPr>
              <w:t>Revenue</w:t>
            </w:r>
          </w:p>
        </w:tc>
        <w:tc>
          <w:tcPr>
            <w:tcW w:w="220" w:type="dxa"/>
            <w:vAlign w:val="bottom"/>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Revenue</w:t>
            </w:r>
          </w:p>
        </w:tc>
        <w:tc>
          <w:tcPr>
            <w:tcW w:w="200" w:type="dxa"/>
            <w:vAlign w:val="bottom"/>
          </w:tcPr>
          <w:p>
            <w:pPr>
              <w:spacing w:after="0"/>
              <w:rPr>
                <w:sz w:val="11"/>
                <w:szCs w:val="11"/>
                <w:color w:val="auto"/>
              </w:rPr>
            </w:pPr>
          </w:p>
        </w:tc>
        <w:tc>
          <w:tcPr>
            <w:tcW w:w="50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1"/>
                <w:szCs w:val="11"/>
                <w:b w:val="1"/>
                <w:bCs w:val="1"/>
                <w:color w:val="auto"/>
              </w:rPr>
              <w:t>Revenue</w:t>
            </w:r>
          </w:p>
        </w:tc>
        <w:tc>
          <w:tcPr>
            <w:tcW w:w="140" w:type="dxa"/>
            <w:vAlign w:val="bottom"/>
          </w:tcPr>
          <w:p>
            <w:pPr>
              <w:spacing w:after="0"/>
              <w:rPr>
                <w:sz w:val="11"/>
                <w:szCs w:val="11"/>
                <w:color w:val="auto"/>
              </w:rPr>
            </w:pPr>
          </w:p>
        </w:tc>
      </w:tr>
      <w:tr>
        <w:trPr>
          <w:trHeight w:val="163"/>
        </w:trPr>
        <w:tc>
          <w:tcPr>
            <w:tcW w:w="16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Pharmacy Solutions</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3,732.4</w:t>
            </w:r>
          </w:p>
        </w:tc>
        <w:tc>
          <w:tcPr>
            <w:tcW w:w="16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88.6%</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2,967.0</w:t>
            </w:r>
          </w:p>
        </w:tc>
        <w:tc>
          <w:tcPr>
            <w:tcW w:w="200" w:type="dxa"/>
            <w:vAlign w:val="bottom"/>
            <w:tcBorders>
              <w:right w:val="single" w:sz="8" w:color="CFF0FC"/>
            </w:tcBorders>
            <w:shd w:val="clear" w:color="auto" w:fill="CFF0FC"/>
          </w:tcPr>
          <w:p>
            <w:pPr>
              <w:spacing w:after="0"/>
              <w:rPr>
                <w:sz w:val="14"/>
                <w:szCs w:val="14"/>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89.0%</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97"/>
              </w:rPr>
              <w:t>$ 10,311.0</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tcBorders>
              <w:right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88.1%</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98"/>
              </w:rPr>
              <w:t>$ 8,289.2</w:t>
            </w:r>
          </w:p>
        </w:tc>
        <w:tc>
          <w:tcPr>
            <w:tcW w:w="200" w:type="dxa"/>
            <w:vAlign w:val="bottom"/>
            <w:tcBorders>
              <w:right w:val="single" w:sz="8" w:color="CFF0FC"/>
            </w:tcBorders>
            <w:shd w:val="clear" w:color="auto" w:fill="CFF0FC"/>
          </w:tcPr>
          <w:p>
            <w:pPr>
              <w:spacing w:after="0"/>
              <w:rPr>
                <w:sz w:val="14"/>
                <w:szCs w:val="14"/>
                <w:color w:val="auto"/>
              </w:rPr>
            </w:pPr>
          </w:p>
        </w:tc>
        <w:tc>
          <w:tcPr>
            <w:tcW w:w="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88.6%</w:t>
            </w:r>
          </w:p>
        </w:tc>
      </w:tr>
      <w:tr>
        <w:trPr>
          <w:trHeight w:val="172"/>
        </w:trPr>
        <w:tc>
          <w:tcPr>
            <w:tcW w:w="1680" w:type="dxa"/>
            <w:vAlign w:val="bottom"/>
          </w:tcPr>
          <w:p>
            <w:pPr>
              <w:spacing w:after="0"/>
              <w:rPr>
                <w:sz w:val="20"/>
                <w:szCs w:val="20"/>
                <w:color w:val="auto"/>
              </w:rPr>
            </w:pPr>
            <w:r>
              <w:rPr>
                <w:rFonts w:ascii="Times New Roman" w:cs="Times New Roman" w:eastAsia="Times New Roman" w:hAnsi="Times New Roman"/>
                <w:sz w:val="14"/>
                <w:szCs w:val="14"/>
                <w:color w:val="auto"/>
              </w:rPr>
              <w:t>Provider Services</w:t>
            </w: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480.8</w:t>
            </w:r>
          </w:p>
        </w:tc>
        <w:tc>
          <w:tcPr>
            <w:tcW w:w="16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11.4%</w:t>
            </w: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367.1</w:t>
            </w:r>
          </w:p>
        </w:tc>
        <w:tc>
          <w:tcPr>
            <w:tcW w:w="20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11.0%</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1,389.1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11.9%</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1,070.7</w:t>
            </w:r>
          </w:p>
        </w:tc>
        <w:tc>
          <w:tcPr>
            <w:tcW w:w="200" w:type="dxa"/>
            <w:vAlign w:val="bottom"/>
          </w:tcPr>
          <w:p>
            <w:pPr>
              <w:spacing w:after="0"/>
              <w:rPr>
                <w:sz w:val="14"/>
                <w:szCs w:val="14"/>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11.4%</w:t>
            </w:r>
          </w:p>
        </w:tc>
      </w:tr>
      <w:tr>
        <w:trPr>
          <w:trHeight w:val="20"/>
        </w:trPr>
        <w:tc>
          <w:tcPr>
            <w:tcW w:w="16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3"/>
        </w:trPr>
        <w:tc>
          <w:tcPr>
            <w:tcW w:w="16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Consolidated BrightSpring</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4,213.2</w:t>
            </w:r>
          </w:p>
        </w:tc>
        <w:tc>
          <w:tcPr>
            <w:tcW w:w="16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100.0%</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3,334.1</w:t>
            </w:r>
          </w:p>
        </w:tc>
        <w:tc>
          <w:tcPr>
            <w:tcW w:w="200" w:type="dxa"/>
            <w:vAlign w:val="bottom"/>
            <w:tcBorders>
              <w:right w:val="single" w:sz="8" w:color="CFF0FC"/>
            </w:tcBorders>
            <w:shd w:val="clear" w:color="auto" w:fill="CFF0FC"/>
          </w:tcPr>
          <w:p>
            <w:pPr>
              <w:spacing w:after="0"/>
              <w:rPr>
                <w:sz w:val="15"/>
                <w:szCs w:val="15"/>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100.0%</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97"/>
              </w:rPr>
              <w:t>$ 11,700.1</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0" w:type="dxa"/>
            <w:vAlign w:val="bottom"/>
            <w:tcBorders>
              <w:right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100.0%</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98"/>
              </w:rPr>
              <w:t>$ 9,359.9</w:t>
            </w:r>
          </w:p>
        </w:tc>
        <w:tc>
          <w:tcPr>
            <w:tcW w:w="200" w:type="dxa"/>
            <w:vAlign w:val="bottom"/>
            <w:tcBorders>
              <w:right w:val="single" w:sz="8" w:color="CFF0FC"/>
            </w:tcBorders>
            <w:shd w:val="clear" w:color="auto" w:fill="CFF0FC"/>
          </w:tcPr>
          <w:p>
            <w:pPr>
              <w:spacing w:after="0"/>
              <w:rPr>
                <w:sz w:val="15"/>
                <w:szCs w:val="15"/>
                <w:color w:val="auto"/>
              </w:rPr>
            </w:pPr>
          </w:p>
        </w:tc>
        <w:tc>
          <w:tcPr>
            <w:tcW w:w="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100.0%</w:t>
            </w:r>
          </w:p>
        </w:tc>
      </w:tr>
      <w:tr>
        <w:trPr>
          <w:trHeight w:val="20"/>
        </w:trPr>
        <w:tc>
          <w:tcPr>
            <w:tcW w:w="16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1857375</wp:posOffset>
            </wp:positionH>
            <wp:positionV relativeFrom="paragraph">
              <wp:posOffset>-19685</wp:posOffset>
            </wp:positionV>
            <wp:extent cx="47625" cy="698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1857375</wp:posOffset>
            </wp:positionH>
            <wp:positionV relativeFrom="paragraph">
              <wp:posOffset>-6350</wp:posOffset>
            </wp:positionV>
            <wp:extent cx="47625" cy="698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2280285</wp:posOffset>
            </wp:positionH>
            <wp:positionV relativeFrom="paragraph">
              <wp:posOffset>-19685</wp:posOffset>
            </wp:positionV>
            <wp:extent cx="88900" cy="698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88900" cy="6985"/>
                    </a:xfrm>
                    <a:prstGeom prst="rect">
                      <a:avLst/>
                    </a:prstGeom>
                    <a:noFill/>
                  </pic:spPr>
                </pic:pic>
              </a:graphicData>
            </a:graphic>
          </wp:anchor>
        </w:drawing>
        <w:drawing>
          <wp:anchor simplePos="0" relativeHeight="251657728" behindDoc="1" locked="0" layoutInCell="0" allowOverlap="1">
            <wp:simplePos x="0" y="0"/>
            <wp:positionH relativeFrom="column">
              <wp:posOffset>2280285</wp:posOffset>
            </wp:positionH>
            <wp:positionV relativeFrom="paragraph">
              <wp:posOffset>-6350</wp:posOffset>
            </wp:positionV>
            <wp:extent cx="88900" cy="698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88900" cy="6985"/>
                    </a:xfrm>
                    <a:prstGeom prst="rect">
                      <a:avLst/>
                    </a:prstGeom>
                    <a:noFill/>
                  </pic:spPr>
                </pic:pic>
              </a:graphicData>
            </a:graphic>
          </wp:anchor>
        </w:drawing>
        <w:drawing>
          <wp:anchor simplePos="0" relativeHeight="251657728" behindDoc="1" locked="0" layoutInCell="0" allowOverlap="1">
            <wp:simplePos x="0" y="0"/>
            <wp:positionH relativeFrom="column">
              <wp:posOffset>2798445</wp:posOffset>
            </wp:positionH>
            <wp:positionV relativeFrom="paragraph">
              <wp:posOffset>-19685</wp:posOffset>
            </wp:positionV>
            <wp:extent cx="47625" cy="698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2798445</wp:posOffset>
            </wp:positionH>
            <wp:positionV relativeFrom="paragraph">
              <wp:posOffset>-6350</wp:posOffset>
            </wp:positionV>
            <wp:extent cx="47625" cy="698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-19685</wp:posOffset>
            </wp:positionV>
            <wp:extent cx="88900" cy="698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88900" cy="698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-6350</wp:posOffset>
            </wp:positionV>
            <wp:extent cx="88900" cy="698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88900" cy="698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-19685</wp:posOffset>
            </wp:positionV>
            <wp:extent cx="47625" cy="698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-6350</wp:posOffset>
            </wp:positionV>
            <wp:extent cx="47625" cy="698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4305935</wp:posOffset>
            </wp:positionH>
            <wp:positionV relativeFrom="paragraph">
              <wp:posOffset>-19685</wp:posOffset>
            </wp:positionV>
            <wp:extent cx="88900" cy="698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88900" cy="6985"/>
                    </a:xfrm>
                    <a:prstGeom prst="rect">
                      <a:avLst/>
                    </a:prstGeom>
                    <a:noFill/>
                  </pic:spPr>
                </pic:pic>
              </a:graphicData>
            </a:graphic>
          </wp:anchor>
        </w:drawing>
        <w:drawing>
          <wp:anchor simplePos="0" relativeHeight="251657728" behindDoc="1" locked="0" layoutInCell="0" allowOverlap="1">
            <wp:simplePos x="0" y="0"/>
            <wp:positionH relativeFrom="column">
              <wp:posOffset>4305935</wp:posOffset>
            </wp:positionH>
            <wp:positionV relativeFrom="paragraph">
              <wp:posOffset>-6350</wp:posOffset>
            </wp:positionV>
            <wp:extent cx="88900" cy="698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88900" cy="6985"/>
                    </a:xfrm>
                    <a:prstGeom prst="rect">
                      <a:avLst/>
                    </a:prstGeom>
                    <a:noFill/>
                  </pic:spPr>
                </pic:pic>
              </a:graphicData>
            </a:graphic>
          </wp:anchor>
        </w:drawing>
        <w:drawing>
          <wp:anchor simplePos="0" relativeHeight="251657728" behindDoc="1" locked="0" layoutInCell="0" allowOverlap="1">
            <wp:simplePos x="0" y="0"/>
            <wp:positionH relativeFrom="column">
              <wp:posOffset>4789805</wp:posOffset>
            </wp:positionH>
            <wp:positionV relativeFrom="paragraph">
              <wp:posOffset>-19685</wp:posOffset>
            </wp:positionV>
            <wp:extent cx="47625" cy="698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4789805</wp:posOffset>
            </wp:positionH>
            <wp:positionV relativeFrom="paragraph">
              <wp:posOffset>-6350</wp:posOffset>
            </wp:positionV>
            <wp:extent cx="47625" cy="698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5226685</wp:posOffset>
            </wp:positionH>
            <wp:positionV relativeFrom="paragraph">
              <wp:posOffset>-19685</wp:posOffset>
            </wp:positionV>
            <wp:extent cx="88900" cy="698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88900" cy="6985"/>
                    </a:xfrm>
                    <a:prstGeom prst="rect">
                      <a:avLst/>
                    </a:prstGeom>
                    <a:noFill/>
                  </pic:spPr>
                </pic:pic>
              </a:graphicData>
            </a:graphic>
          </wp:anchor>
        </w:drawing>
        <w:drawing>
          <wp:anchor simplePos="0" relativeHeight="251657728" behindDoc="1" locked="0" layoutInCell="0" allowOverlap="1">
            <wp:simplePos x="0" y="0"/>
            <wp:positionH relativeFrom="column">
              <wp:posOffset>5226685</wp:posOffset>
            </wp:positionH>
            <wp:positionV relativeFrom="paragraph">
              <wp:posOffset>-6350</wp:posOffset>
            </wp:positionV>
            <wp:extent cx="88900" cy="698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88900" cy="6985"/>
                    </a:xfrm>
                    <a:prstGeom prst="rect">
                      <a:avLst/>
                    </a:prstGeom>
                    <a:noFill/>
                  </pic:spPr>
                </pic:pic>
              </a:graphicData>
            </a:graphic>
          </wp:anchor>
        </w:drawing>
      </w:r>
    </w:p>
    <w:p>
      <w:pPr>
        <w:spacing w:after="0" w:line="2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Payor Mix</w:t>
      </w:r>
    </w:p>
    <w:p>
      <w:pPr>
        <w:spacing w:after="0" w:line="99" w:lineRule="exact"/>
        <w:rPr>
          <w:sz w:val="20"/>
          <w:szCs w:val="20"/>
          <w:color w:val="auto"/>
        </w:rPr>
      </w:pPr>
    </w:p>
    <w:p>
      <w:pPr>
        <w:ind w:left="640" w:right="859" w:firstLine="351"/>
        <w:spacing w:after="0" w:line="268" w:lineRule="auto"/>
        <w:rPr>
          <w:sz w:val="20"/>
          <w:szCs w:val="20"/>
          <w:color w:val="auto"/>
        </w:rPr>
      </w:pPr>
      <w:r>
        <w:rPr>
          <w:rFonts w:ascii="Times New Roman" w:cs="Times New Roman" w:eastAsia="Times New Roman" w:hAnsi="Times New Roman"/>
          <w:sz w:val="14"/>
          <w:szCs w:val="14"/>
          <w:color w:val="auto"/>
        </w:rPr>
        <w:t>We are characterized by payor diversification across our platform. Our payors are principally federal, state, and local governmental agencies, commercial insurance, private, and other payors. Additionally, our Medicaid payors can be further broken down across each individual state with our top 10 Medicaid states representing 7% of total Company revenue for the three and nine months ended September 30, 2026 and 2025.</w:t>
      </w:r>
    </w:p>
    <w:p>
      <w:pPr>
        <w:spacing w:after="0" w:line="54" w:lineRule="exact"/>
        <w:rPr>
          <w:sz w:val="20"/>
          <w:szCs w:val="20"/>
          <w:color w:val="auto"/>
        </w:rPr>
      </w:pPr>
    </w:p>
    <w:p>
      <w:pPr>
        <w:ind w:left="640" w:right="839" w:firstLine="351"/>
        <w:spacing w:after="0" w:line="268" w:lineRule="auto"/>
        <w:rPr>
          <w:sz w:val="20"/>
          <w:szCs w:val="20"/>
          <w:color w:val="auto"/>
        </w:rPr>
      </w:pPr>
      <w:r>
        <w:rPr>
          <w:rFonts w:ascii="Times New Roman" w:cs="Times New Roman" w:eastAsia="Times New Roman" w:hAnsi="Times New Roman"/>
          <w:sz w:val="14"/>
          <w:szCs w:val="14"/>
          <w:color w:val="auto"/>
        </w:rPr>
        <w:t>We provide our services across all 50 states, Puerto Rico and Canada, with our top 10 states of operations comprising 52% of total Company revenues for the three and nine months ended September 30, 2026 compared to 53% for the three and nine months ended September 30, 2025. The federal, state, and local programs under which we operate are subject to legislative and budgetary changes that can influence reimbursement rates.</w:t>
      </w:r>
    </w:p>
    <w:p>
      <w:pPr>
        <w:spacing w:after="0" w:line="54" w:lineRule="exact"/>
        <w:rPr>
          <w:sz w:val="20"/>
          <w:szCs w:val="20"/>
          <w:color w:val="auto"/>
        </w:rPr>
      </w:pPr>
    </w:p>
    <w:p>
      <w:pPr>
        <w:ind w:left="640" w:right="839" w:firstLine="351"/>
        <w:spacing w:after="0" w:line="292" w:lineRule="auto"/>
        <w:rPr>
          <w:sz w:val="20"/>
          <w:szCs w:val="20"/>
          <w:color w:val="auto"/>
        </w:rPr>
      </w:pPr>
      <w:r>
        <w:rPr>
          <w:rFonts w:ascii="Times New Roman" w:cs="Times New Roman" w:eastAsia="Times New Roman" w:hAnsi="Times New Roman"/>
          <w:sz w:val="14"/>
          <w:szCs w:val="14"/>
          <w:color w:val="auto"/>
        </w:rPr>
        <w:t>The following tables summarize the percentage of revenue generated by each payor type for each of our service offerings and reportable segments:</w:t>
      </w:r>
    </w:p>
    <w:p>
      <w:pPr>
        <w:spacing w:after="0" w:line="211" w:lineRule="exact"/>
        <w:rPr>
          <w:sz w:val="20"/>
          <w:szCs w:val="20"/>
          <w:color w:val="auto"/>
        </w:rPr>
      </w:pPr>
    </w:p>
    <w:tbl>
      <w:tblPr>
        <w:tblLayout w:type="fixed"/>
        <w:tblInd w:w="640" w:type="dxa"/>
        <w:tblCellMar>
          <w:top w:w="0" w:type="dxa"/>
          <w:left w:w="0" w:type="dxa"/>
          <w:bottom w:w="0" w:type="dxa"/>
          <w:right w:w="0" w:type="dxa"/>
        </w:tblCellMar>
      </w:tblPr>
      <w:tr>
        <w:trPr>
          <w:trHeight w:val="131"/>
        </w:trPr>
        <w:tc>
          <w:tcPr>
            <w:tcW w:w="1720" w:type="dxa"/>
            <w:vAlign w:val="bottom"/>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900" w:type="dxa"/>
            <w:vAlign w:val="bottom"/>
            <w:tcBorders>
              <w:bottom w:val="single" w:sz="8" w:color="auto"/>
            </w:tcBorders>
            <w:gridSpan w:val="8"/>
          </w:tcPr>
          <w:p>
            <w:pPr>
              <w:ind w:left="40"/>
              <w:spacing w:after="0"/>
              <w:rPr>
                <w:sz w:val="20"/>
                <w:szCs w:val="20"/>
                <w:color w:val="auto"/>
              </w:rPr>
            </w:pPr>
            <w:r>
              <w:rPr>
                <w:rFonts w:ascii="Times New Roman" w:cs="Times New Roman" w:eastAsia="Times New Roman" w:hAnsi="Times New Roman"/>
                <w:sz w:val="11"/>
                <w:szCs w:val="11"/>
                <w:b w:val="1"/>
                <w:bCs w:val="1"/>
                <w:color w:val="auto"/>
              </w:rPr>
              <w:t>For the Three Months Ended September 30, 2026</w:t>
            </w:r>
          </w:p>
        </w:tc>
        <w:tc>
          <w:tcPr>
            <w:tcW w:w="5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96"/>
        </w:trPr>
        <w:tc>
          <w:tcPr>
            <w:tcW w:w="1720" w:type="dxa"/>
            <w:vAlign w:val="bottom"/>
          </w:tcPr>
          <w:p>
            <w:pPr>
              <w:spacing w:after="0"/>
              <w:rPr>
                <w:sz w:val="8"/>
                <w:szCs w:val="8"/>
                <w:color w:val="auto"/>
              </w:rPr>
            </w:pPr>
          </w:p>
        </w:tc>
        <w:tc>
          <w:tcPr>
            <w:tcW w:w="1000" w:type="dxa"/>
            <w:vAlign w:val="bottom"/>
            <w:gridSpan w:val="3"/>
          </w:tcPr>
          <w:p>
            <w:pPr>
              <w:jc w:val="right"/>
              <w:ind w:right="340"/>
              <w:spacing w:after="0" w:line="96" w:lineRule="exact"/>
              <w:rPr>
                <w:sz w:val="20"/>
                <w:szCs w:val="20"/>
                <w:color w:val="auto"/>
              </w:rPr>
            </w:pPr>
            <w:r>
              <w:rPr>
                <w:rFonts w:ascii="Times New Roman" w:cs="Times New Roman" w:eastAsia="Times New Roman" w:hAnsi="Times New Roman"/>
                <w:sz w:val="11"/>
                <w:szCs w:val="11"/>
                <w:b w:val="1"/>
                <w:bCs w:val="1"/>
                <w:color w:val="auto"/>
              </w:rPr>
              <w:t>Commercial</w:t>
            </w: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gridSpan w:val="2"/>
          </w:tcPr>
          <w:p>
            <w:pPr>
              <w:ind w:left="20"/>
              <w:spacing w:after="0" w:line="96" w:lineRule="exact"/>
              <w:rPr>
                <w:sz w:val="20"/>
                <w:szCs w:val="20"/>
                <w:color w:val="auto"/>
              </w:rPr>
            </w:pPr>
            <w:r>
              <w:rPr>
                <w:rFonts w:ascii="Times New Roman" w:cs="Times New Roman" w:eastAsia="Times New Roman" w:hAnsi="Times New Roman"/>
                <w:sz w:val="11"/>
                <w:szCs w:val="11"/>
                <w:b w:val="1"/>
                <w:bCs w:val="1"/>
                <w:color w:val="auto"/>
              </w:rPr>
              <w:t>Medicare</w:t>
            </w:r>
          </w:p>
        </w:tc>
        <w:tc>
          <w:tcPr>
            <w:tcW w:w="720" w:type="dxa"/>
            <w:vAlign w:val="bottom"/>
            <w:gridSpan w:val="2"/>
          </w:tcPr>
          <w:p>
            <w:pPr>
              <w:jc w:val="right"/>
              <w:ind w:right="260"/>
              <w:spacing w:after="0" w:line="96" w:lineRule="exact"/>
              <w:rPr>
                <w:sz w:val="20"/>
                <w:szCs w:val="20"/>
                <w:color w:val="auto"/>
              </w:rPr>
            </w:pPr>
            <w:r>
              <w:rPr>
                <w:rFonts w:ascii="Times New Roman" w:cs="Times New Roman" w:eastAsia="Times New Roman" w:hAnsi="Times New Roman"/>
                <w:sz w:val="11"/>
                <w:szCs w:val="11"/>
                <w:b w:val="1"/>
                <w:bCs w:val="1"/>
                <w:color w:val="auto"/>
                <w:w w:val="98"/>
              </w:rPr>
              <w:t>Medicare</w:t>
            </w:r>
          </w:p>
        </w:tc>
        <w:tc>
          <w:tcPr>
            <w:tcW w:w="720" w:type="dxa"/>
            <w:vAlign w:val="bottom"/>
            <w:gridSpan w:val="2"/>
          </w:tcPr>
          <w:p>
            <w:pPr>
              <w:jc w:val="center"/>
              <w:ind w:right="240"/>
              <w:spacing w:after="0" w:line="96" w:lineRule="exact"/>
              <w:rPr>
                <w:sz w:val="20"/>
                <w:szCs w:val="20"/>
                <w:color w:val="auto"/>
              </w:rPr>
            </w:pPr>
            <w:r>
              <w:rPr>
                <w:rFonts w:ascii="Times New Roman" w:cs="Times New Roman" w:eastAsia="Times New Roman" w:hAnsi="Times New Roman"/>
                <w:sz w:val="11"/>
                <w:szCs w:val="11"/>
                <w:b w:val="1"/>
                <w:bCs w:val="1"/>
                <w:color w:val="auto"/>
                <w:w w:val="98"/>
              </w:rPr>
              <w:t>Medicare</w:t>
            </w:r>
          </w:p>
        </w:tc>
        <w:tc>
          <w:tcPr>
            <w:tcW w:w="740" w:type="dxa"/>
            <w:vAlign w:val="bottom"/>
            <w:gridSpan w:val="2"/>
          </w:tcPr>
          <w:p>
            <w:pPr>
              <w:jc w:val="center"/>
              <w:ind w:right="240"/>
              <w:spacing w:after="0" w:line="96" w:lineRule="exact"/>
              <w:rPr>
                <w:sz w:val="20"/>
                <w:szCs w:val="20"/>
                <w:color w:val="auto"/>
              </w:rPr>
            </w:pPr>
            <w:r>
              <w:rPr>
                <w:rFonts w:ascii="Times New Roman" w:cs="Times New Roman" w:eastAsia="Times New Roman" w:hAnsi="Times New Roman"/>
                <w:sz w:val="11"/>
                <w:szCs w:val="11"/>
                <w:b w:val="1"/>
                <w:bCs w:val="1"/>
                <w:color w:val="auto"/>
                <w:w w:val="94"/>
              </w:rPr>
              <w:t>Medicare</w:t>
            </w:r>
          </w:p>
        </w:tc>
        <w:tc>
          <w:tcPr>
            <w:tcW w:w="720" w:type="dxa"/>
            <w:vAlign w:val="bottom"/>
            <w:gridSpan w:val="2"/>
          </w:tcPr>
          <w:p>
            <w:pPr>
              <w:jc w:val="center"/>
              <w:ind w:right="240"/>
              <w:spacing w:after="0" w:line="96" w:lineRule="exact"/>
              <w:rPr>
                <w:sz w:val="20"/>
                <w:szCs w:val="20"/>
                <w:color w:val="auto"/>
              </w:rPr>
            </w:pPr>
            <w:r>
              <w:rPr>
                <w:rFonts w:ascii="Times New Roman" w:cs="Times New Roman" w:eastAsia="Times New Roman" w:hAnsi="Times New Roman"/>
                <w:sz w:val="11"/>
                <w:szCs w:val="11"/>
                <w:b w:val="1"/>
                <w:bCs w:val="1"/>
                <w:color w:val="auto"/>
                <w:w w:val="95"/>
              </w:rPr>
              <w:t>Private &amp;</w:t>
            </w: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131"/>
        </w:trPr>
        <w:tc>
          <w:tcPr>
            <w:tcW w:w="1720" w:type="dxa"/>
            <w:vAlign w:val="bottom"/>
          </w:tcPr>
          <w:p>
            <w:pPr>
              <w:spacing w:after="0"/>
              <w:rPr>
                <w:sz w:val="11"/>
                <w:szCs w:val="11"/>
                <w:color w:val="auto"/>
              </w:rPr>
            </w:pPr>
          </w:p>
        </w:tc>
        <w:tc>
          <w:tcPr>
            <w:tcW w:w="80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rPr>
              <w:t>insurance</w:t>
            </w:r>
          </w:p>
        </w:tc>
        <w:tc>
          <w:tcPr>
            <w:tcW w:w="200" w:type="dxa"/>
            <w:vAlign w:val="bottom"/>
          </w:tcPr>
          <w:p>
            <w:pPr>
              <w:spacing w:after="0"/>
              <w:rPr>
                <w:sz w:val="11"/>
                <w:szCs w:val="11"/>
                <w:color w:val="auto"/>
              </w:rPr>
            </w:pPr>
          </w:p>
        </w:tc>
        <w:tc>
          <w:tcPr>
            <w:tcW w:w="5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Medicaid</w:t>
            </w:r>
          </w:p>
        </w:tc>
        <w:tc>
          <w:tcPr>
            <w:tcW w:w="180" w:type="dxa"/>
            <w:vAlign w:val="bottom"/>
          </w:tcPr>
          <w:p>
            <w:pPr>
              <w:spacing w:after="0"/>
              <w:rPr>
                <w:sz w:val="11"/>
                <w:szCs w:val="11"/>
                <w:color w:val="auto"/>
              </w:rPr>
            </w:pPr>
          </w:p>
        </w:tc>
        <w:tc>
          <w:tcPr>
            <w:tcW w:w="4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1"/>
                <w:szCs w:val="11"/>
                <w:b w:val="1"/>
                <w:bCs w:val="1"/>
                <w:color w:val="auto"/>
              </w:rPr>
              <w:t>Part A</w:t>
            </w:r>
          </w:p>
        </w:tc>
        <w:tc>
          <w:tcPr>
            <w:tcW w:w="240" w:type="dxa"/>
            <w:vAlign w:val="bottom"/>
          </w:tcPr>
          <w:p>
            <w:pPr>
              <w:spacing w:after="0"/>
              <w:rPr>
                <w:sz w:val="11"/>
                <w:szCs w:val="11"/>
                <w:color w:val="auto"/>
              </w:rPr>
            </w:pPr>
          </w:p>
        </w:tc>
        <w:tc>
          <w:tcPr>
            <w:tcW w:w="50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Part B</w:t>
            </w:r>
          </w:p>
        </w:tc>
        <w:tc>
          <w:tcPr>
            <w:tcW w:w="220" w:type="dxa"/>
            <w:vAlign w:val="bottom"/>
          </w:tcPr>
          <w:p>
            <w:pPr>
              <w:spacing w:after="0"/>
              <w:rPr>
                <w:sz w:val="11"/>
                <w:szCs w:val="11"/>
                <w:color w:val="auto"/>
              </w:rPr>
            </w:pP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Part C</w:t>
            </w:r>
          </w:p>
        </w:tc>
        <w:tc>
          <w:tcPr>
            <w:tcW w:w="220" w:type="dxa"/>
            <w:vAlign w:val="bottom"/>
          </w:tcPr>
          <w:p>
            <w:pPr>
              <w:spacing w:after="0"/>
              <w:rPr>
                <w:sz w:val="11"/>
                <w:szCs w:val="11"/>
                <w:color w:val="auto"/>
              </w:rPr>
            </w:pP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Part D</w:t>
            </w:r>
          </w:p>
        </w:tc>
        <w:tc>
          <w:tcPr>
            <w:tcW w:w="220" w:type="dxa"/>
            <w:vAlign w:val="bottom"/>
          </w:tcPr>
          <w:p>
            <w:pPr>
              <w:spacing w:after="0"/>
              <w:rPr>
                <w:sz w:val="11"/>
                <w:szCs w:val="11"/>
                <w:color w:val="auto"/>
              </w:rPr>
            </w:pP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other</w:t>
            </w:r>
          </w:p>
        </w:tc>
        <w:tc>
          <w:tcPr>
            <w:tcW w:w="220" w:type="dxa"/>
            <w:vAlign w:val="bottom"/>
          </w:tcPr>
          <w:p>
            <w:pPr>
              <w:spacing w:after="0"/>
              <w:rPr>
                <w:sz w:val="11"/>
                <w:szCs w:val="11"/>
                <w:color w:val="auto"/>
              </w:rPr>
            </w:pPr>
          </w:p>
        </w:tc>
        <w:tc>
          <w:tcPr>
            <w:tcW w:w="5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120" w:type="dxa"/>
            <w:vAlign w:val="bottom"/>
          </w:tcPr>
          <w:p>
            <w:pPr>
              <w:spacing w:after="0"/>
              <w:rPr>
                <w:sz w:val="11"/>
                <w:szCs w:val="11"/>
                <w:color w:val="auto"/>
              </w:rPr>
            </w:pPr>
          </w:p>
        </w:tc>
      </w:tr>
      <w:tr>
        <w:trPr>
          <w:trHeight w:val="109"/>
        </w:trPr>
        <w:tc>
          <w:tcPr>
            <w:tcW w:w="1720" w:type="dxa"/>
            <w:vAlign w:val="bottom"/>
            <w:shd w:val="clear" w:color="auto" w:fill="CFF0FC"/>
          </w:tcPr>
          <w:p>
            <w:pPr>
              <w:spacing w:after="0" w:line="109" w:lineRule="exact"/>
              <w:rPr>
                <w:sz w:val="20"/>
                <w:szCs w:val="20"/>
                <w:color w:val="auto"/>
              </w:rPr>
            </w:pPr>
            <w:r>
              <w:rPr>
                <w:rFonts w:ascii="Times New Roman" w:cs="Times New Roman" w:eastAsia="Times New Roman" w:hAnsi="Times New Roman"/>
                <w:sz w:val="11"/>
                <w:szCs w:val="11"/>
                <w:color w:val="auto"/>
              </w:rPr>
              <w:t>Specialty and Infusion Pharmacy</w:t>
            </w:r>
          </w:p>
        </w:tc>
        <w:tc>
          <w:tcPr>
            <w:tcW w:w="1000" w:type="dxa"/>
            <w:vAlign w:val="bottom"/>
            <w:tcBorders>
              <w:right w:val="single" w:sz="8" w:color="CFF0FC"/>
            </w:tcBorders>
            <w:gridSpan w:val="3"/>
            <w:shd w:val="clear" w:color="auto" w:fill="CFF0FC"/>
          </w:tcPr>
          <w:p>
            <w:pPr>
              <w:jc w:val="right"/>
              <w:ind w:right="100"/>
              <w:spacing w:after="0" w:line="109" w:lineRule="exact"/>
              <w:rPr>
                <w:sz w:val="20"/>
                <w:szCs w:val="20"/>
                <w:color w:val="auto"/>
              </w:rPr>
            </w:pPr>
            <w:r>
              <w:rPr>
                <w:rFonts w:ascii="Times New Roman" w:cs="Times New Roman" w:eastAsia="Times New Roman" w:hAnsi="Times New Roman"/>
                <w:sz w:val="11"/>
                <w:szCs w:val="11"/>
                <w:color w:val="auto"/>
              </w:rPr>
              <w:t>25.8%</w:t>
            </w:r>
          </w:p>
        </w:tc>
        <w:tc>
          <w:tcPr>
            <w:tcW w:w="760" w:type="dxa"/>
            <w:vAlign w:val="bottom"/>
            <w:tcBorders>
              <w:right w:val="single" w:sz="8" w:color="CFF0FC"/>
            </w:tcBorders>
            <w:gridSpan w:val="3"/>
            <w:shd w:val="clear" w:color="auto" w:fill="CFF0FC"/>
          </w:tcPr>
          <w:p>
            <w:pPr>
              <w:jc w:val="right"/>
              <w:ind w:right="100"/>
              <w:spacing w:after="0" w:line="109" w:lineRule="exact"/>
              <w:rPr>
                <w:sz w:val="20"/>
                <w:szCs w:val="20"/>
                <w:color w:val="auto"/>
              </w:rPr>
            </w:pPr>
            <w:r>
              <w:rPr>
                <w:rFonts w:ascii="Times New Roman" w:cs="Times New Roman" w:eastAsia="Times New Roman" w:hAnsi="Times New Roman"/>
                <w:sz w:val="11"/>
                <w:szCs w:val="11"/>
                <w:color w:val="auto"/>
              </w:rPr>
              <w:t>7.5%</w:t>
            </w:r>
          </w:p>
        </w:tc>
        <w:tc>
          <w:tcPr>
            <w:tcW w:w="720" w:type="dxa"/>
            <w:vAlign w:val="bottom"/>
            <w:tcBorders>
              <w:right w:val="single" w:sz="8" w:color="CFF0FC"/>
            </w:tcBorders>
            <w:gridSpan w:val="2"/>
            <w:shd w:val="clear" w:color="auto" w:fill="CFF0FC"/>
          </w:tcPr>
          <w:p>
            <w:pPr>
              <w:jc w:val="right"/>
              <w:ind w:right="200"/>
              <w:spacing w:after="0" w:line="109"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right w:val="single" w:sz="8" w:color="CFF0FC"/>
            </w:tcBorders>
            <w:gridSpan w:val="2"/>
            <w:shd w:val="clear" w:color="auto" w:fill="CFF0FC"/>
          </w:tcPr>
          <w:p>
            <w:pPr>
              <w:jc w:val="right"/>
              <w:ind w:right="100"/>
              <w:spacing w:after="0" w:line="109" w:lineRule="exact"/>
              <w:rPr>
                <w:sz w:val="20"/>
                <w:szCs w:val="20"/>
                <w:color w:val="auto"/>
              </w:rPr>
            </w:pPr>
            <w:r>
              <w:rPr>
                <w:rFonts w:ascii="Times New Roman" w:cs="Times New Roman" w:eastAsia="Times New Roman" w:hAnsi="Times New Roman"/>
                <w:sz w:val="11"/>
                <w:szCs w:val="11"/>
                <w:color w:val="auto"/>
              </w:rPr>
              <w:t>0.4%</w:t>
            </w:r>
          </w:p>
        </w:tc>
        <w:tc>
          <w:tcPr>
            <w:tcW w:w="720" w:type="dxa"/>
            <w:vAlign w:val="bottom"/>
            <w:tcBorders>
              <w:right w:val="single" w:sz="8" w:color="CFF0FC"/>
            </w:tcBorders>
            <w:gridSpan w:val="2"/>
            <w:shd w:val="clear" w:color="auto" w:fill="CFF0FC"/>
          </w:tcPr>
          <w:p>
            <w:pPr>
              <w:jc w:val="right"/>
              <w:ind w:right="100"/>
              <w:spacing w:after="0" w:line="109" w:lineRule="exact"/>
              <w:rPr>
                <w:sz w:val="20"/>
                <w:szCs w:val="20"/>
                <w:color w:val="auto"/>
              </w:rPr>
            </w:pPr>
            <w:r>
              <w:rPr>
                <w:rFonts w:ascii="Times New Roman" w:cs="Times New Roman" w:eastAsia="Times New Roman" w:hAnsi="Times New Roman"/>
                <w:sz w:val="11"/>
                <w:szCs w:val="11"/>
                <w:color w:val="auto"/>
              </w:rPr>
              <w:t>16.8%</w:t>
            </w:r>
          </w:p>
        </w:tc>
        <w:tc>
          <w:tcPr>
            <w:tcW w:w="740" w:type="dxa"/>
            <w:vAlign w:val="bottom"/>
            <w:tcBorders>
              <w:right w:val="single" w:sz="8" w:color="CFF0FC"/>
            </w:tcBorders>
            <w:gridSpan w:val="2"/>
            <w:shd w:val="clear" w:color="auto" w:fill="CFF0FC"/>
          </w:tcPr>
          <w:p>
            <w:pPr>
              <w:jc w:val="right"/>
              <w:ind w:right="100"/>
              <w:spacing w:after="0" w:line="109" w:lineRule="exact"/>
              <w:rPr>
                <w:sz w:val="20"/>
                <w:szCs w:val="20"/>
                <w:color w:val="auto"/>
              </w:rPr>
            </w:pPr>
            <w:r>
              <w:rPr>
                <w:rFonts w:ascii="Times New Roman" w:cs="Times New Roman" w:eastAsia="Times New Roman" w:hAnsi="Times New Roman"/>
                <w:sz w:val="11"/>
                <w:szCs w:val="11"/>
                <w:color w:val="auto"/>
              </w:rPr>
              <w:t>24.0%</w:t>
            </w:r>
          </w:p>
        </w:tc>
        <w:tc>
          <w:tcPr>
            <w:tcW w:w="720" w:type="dxa"/>
            <w:vAlign w:val="bottom"/>
            <w:tcBorders>
              <w:right w:val="single" w:sz="8" w:color="CFF0FC"/>
            </w:tcBorders>
            <w:gridSpan w:val="2"/>
            <w:shd w:val="clear" w:color="auto" w:fill="CFF0FC"/>
          </w:tcPr>
          <w:p>
            <w:pPr>
              <w:jc w:val="right"/>
              <w:ind w:right="100"/>
              <w:spacing w:after="0" w:line="109" w:lineRule="exact"/>
              <w:rPr>
                <w:sz w:val="20"/>
                <w:szCs w:val="20"/>
                <w:color w:val="auto"/>
              </w:rPr>
            </w:pPr>
            <w:r>
              <w:rPr>
                <w:rFonts w:ascii="Times New Roman" w:cs="Times New Roman" w:eastAsia="Times New Roman" w:hAnsi="Times New Roman"/>
                <w:sz w:val="11"/>
                <w:szCs w:val="11"/>
                <w:color w:val="auto"/>
              </w:rPr>
              <w:t>1.0%</w:t>
            </w:r>
          </w:p>
        </w:tc>
        <w:tc>
          <w:tcPr>
            <w:tcW w:w="640" w:type="dxa"/>
            <w:vAlign w:val="bottom"/>
            <w:gridSpan w:val="2"/>
            <w:shd w:val="clear" w:color="auto" w:fill="CFF0FC"/>
          </w:tcPr>
          <w:p>
            <w:pPr>
              <w:jc w:val="right"/>
              <w:ind w:right="40"/>
              <w:spacing w:after="0" w:line="109" w:lineRule="exact"/>
              <w:rPr>
                <w:sz w:val="20"/>
                <w:szCs w:val="20"/>
                <w:color w:val="auto"/>
              </w:rPr>
            </w:pPr>
            <w:r>
              <w:rPr>
                <w:rFonts w:ascii="Times New Roman" w:cs="Times New Roman" w:eastAsia="Times New Roman" w:hAnsi="Times New Roman"/>
                <w:sz w:val="11"/>
                <w:szCs w:val="11"/>
                <w:color w:val="auto"/>
              </w:rPr>
              <w:t>75.5%</w:t>
            </w:r>
          </w:p>
        </w:tc>
      </w:tr>
      <w:tr>
        <w:trPr>
          <w:trHeight w:val="118"/>
        </w:trPr>
        <w:tc>
          <w:tcPr>
            <w:tcW w:w="172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Home and Community Pharmacy</w:t>
            </w:r>
          </w:p>
        </w:tc>
        <w:tc>
          <w:tcPr>
            <w:tcW w:w="1000" w:type="dxa"/>
            <w:vAlign w:val="bottom"/>
            <w:gridSpan w:val="3"/>
          </w:tcPr>
          <w:p>
            <w:pPr>
              <w:jc w:val="right"/>
              <w:ind w:right="100"/>
              <w:spacing w:after="0" w:line="119" w:lineRule="exact"/>
              <w:rPr>
                <w:sz w:val="20"/>
                <w:szCs w:val="20"/>
                <w:color w:val="auto"/>
              </w:rPr>
            </w:pPr>
            <w:r>
              <w:rPr>
                <w:rFonts w:ascii="Times New Roman" w:cs="Times New Roman" w:eastAsia="Times New Roman" w:hAnsi="Times New Roman"/>
                <w:sz w:val="11"/>
                <w:szCs w:val="11"/>
                <w:color w:val="auto"/>
              </w:rPr>
              <w:t>2.3%</w:t>
            </w:r>
          </w:p>
        </w:tc>
        <w:tc>
          <w:tcPr>
            <w:tcW w:w="760" w:type="dxa"/>
            <w:vAlign w:val="bottom"/>
            <w:gridSpan w:val="3"/>
          </w:tcPr>
          <w:p>
            <w:pPr>
              <w:jc w:val="right"/>
              <w:ind w:right="100"/>
              <w:spacing w:after="0" w:line="119" w:lineRule="exact"/>
              <w:rPr>
                <w:sz w:val="20"/>
                <w:szCs w:val="20"/>
                <w:color w:val="auto"/>
              </w:rPr>
            </w:pPr>
            <w:r>
              <w:rPr>
                <w:rFonts w:ascii="Times New Roman" w:cs="Times New Roman" w:eastAsia="Times New Roman" w:hAnsi="Times New Roman"/>
                <w:sz w:val="11"/>
                <w:szCs w:val="11"/>
                <w:color w:val="auto"/>
              </w:rPr>
              <w:t>1.4%</w:t>
            </w:r>
          </w:p>
        </w:tc>
        <w:tc>
          <w:tcPr>
            <w:tcW w:w="720" w:type="dxa"/>
            <w:vAlign w:val="bottom"/>
            <w:gridSpan w:val="2"/>
          </w:tcPr>
          <w:p>
            <w:pPr>
              <w:jc w:val="right"/>
              <w:ind w:right="100"/>
              <w:spacing w:after="0" w:line="119" w:lineRule="exact"/>
              <w:rPr>
                <w:sz w:val="20"/>
                <w:szCs w:val="20"/>
                <w:color w:val="auto"/>
              </w:rPr>
            </w:pPr>
            <w:r>
              <w:rPr>
                <w:rFonts w:ascii="Times New Roman" w:cs="Times New Roman" w:eastAsia="Times New Roman" w:hAnsi="Times New Roman"/>
                <w:sz w:val="11"/>
                <w:szCs w:val="11"/>
                <w:color w:val="auto"/>
              </w:rPr>
              <w:t>3.2%</w:t>
            </w:r>
          </w:p>
        </w:tc>
        <w:tc>
          <w:tcPr>
            <w:tcW w:w="720" w:type="dxa"/>
            <w:vAlign w:val="bottom"/>
            <w:gridSpan w:val="2"/>
          </w:tcPr>
          <w:p>
            <w:pPr>
              <w:jc w:val="right"/>
              <w:ind w:right="200"/>
              <w:spacing w:after="0" w:line="119"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00"/>
              <w:spacing w:after="0" w:line="119" w:lineRule="exact"/>
              <w:rPr>
                <w:sz w:val="20"/>
                <w:szCs w:val="20"/>
                <w:color w:val="auto"/>
              </w:rPr>
            </w:pPr>
            <w:r>
              <w:rPr>
                <w:rFonts w:ascii="Times New Roman" w:cs="Times New Roman" w:eastAsia="Times New Roman" w:hAnsi="Times New Roman"/>
                <w:sz w:val="11"/>
                <w:szCs w:val="11"/>
                <w:color w:val="auto"/>
              </w:rPr>
              <w:t>0.0%</w:t>
            </w:r>
          </w:p>
        </w:tc>
        <w:tc>
          <w:tcPr>
            <w:tcW w:w="740" w:type="dxa"/>
            <w:vAlign w:val="bottom"/>
            <w:gridSpan w:val="2"/>
          </w:tcPr>
          <w:p>
            <w:pPr>
              <w:jc w:val="right"/>
              <w:ind w:right="100"/>
              <w:spacing w:after="0" w:line="119" w:lineRule="exact"/>
              <w:rPr>
                <w:sz w:val="20"/>
                <w:szCs w:val="20"/>
                <w:color w:val="auto"/>
              </w:rPr>
            </w:pPr>
            <w:r>
              <w:rPr>
                <w:rFonts w:ascii="Times New Roman" w:cs="Times New Roman" w:eastAsia="Times New Roman" w:hAnsi="Times New Roman"/>
                <w:sz w:val="11"/>
                <w:szCs w:val="11"/>
                <w:color w:val="auto"/>
              </w:rPr>
              <w:t>5.6%</w:t>
            </w:r>
          </w:p>
        </w:tc>
        <w:tc>
          <w:tcPr>
            <w:tcW w:w="720" w:type="dxa"/>
            <w:vAlign w:val="bottom"/>
            <w:gridSpan w:val="2"/>
          </w:tcPr>
          <w:p>
            <w:pPr>
              <w:jc w:val="right"/>
              <w:ind w:right="100"/>
              <w:spacing w:after="0" w:line="119" w:lineRule="exact"/>
              <w:rPr>
                <w:sz w:val="20"/>
                <w:szCs w:val="20"/>
                <w:color w:val="auto"/>
              </w:rPr>
            </w:pPr>
            <w:r>
              <w:rPr>
                <w:rFonts w:ascii="Times New Roman" w:cs="Times New Roman" w:eastAsia="Times New Roman" w:hAnsi="Times New Roman"/>
                <w:sz w:val="11"/>
                <w:szCs w:val="11"/>
                <w:color w:val="auto"/>
              </w:rPr>
              <w:t>0.6%</w:t>
            </w:r>
          </w:p>
        </w:tc>
        <w:tc>
          <w:tcPr>
            <w:tcW w:w="640" w:type="dxa"/>
            <w:vAlign w:val="bottom"/>
            <w:gridSpan w:val="2"/>
          </w:tcPr>
          <w:p>
            <w:pPr>
              <w:jc w:val="right"/>
              <w:ind w:right="40"/>
              <w:spacing w:after="0" w:line="119" w:lineRule="exact"/>
              <w:rPr>
                <w:sz w:val="20"/>
                <w:szCs w:val="20"/>
                <w:color w:val="auto"/>
              </w:rPr>
            </w:pPr>
            <w:r>
              <w:rPr>
                <w:rFonts w:ascii="Times New Roman" w:cs="Times New Roman" w:eastAsia="Times New Roman" w:hAnsi="Times New Roman"/>
                <w:sz w:val="11"/>
                <w:szCs w:val="11"/>
                <w:color w:val="auto"/>
              </w:rPr>
              <w:t>13.1%</w:t>
            </w:r>
          </w:p>
        </w:tc>
      </w:tr>
      <w:tr>
        <w:trPr>
          <w:trHeight w:val="20"/>
        </w:trPr>
        <w:tc>
          <w:tcPr>
            <w:tcW w:w="17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09"/>
        </w:trPr>
        <w:tc>
          <w:tcPr>
            <w:tcW w:w="1720" w:type="dxa"/>
            <w:vAlign w:val="bottom"/>
            <w:shd w:val="clear" w:color="auto" w:fill="CFF0FC"/>
          </w:tcPr>
          <w:p>
            <w:pPr>
              <w:ind w:left="140"/>
              <w:spacing w:after="0" w:line="109" w:lineRule="exact"/>
              <w:rPr>
                <w:sz w:val="20"/>
                <w:szCs w:val="20"/>
                <w:color w:val="auto"/>
              </w:rPr>
            </w:pPr>
            <w:r>
              <w:rPr>
                <w:rFonts w:ascii="Times New Roman" w:cs="Times New Roman" w:eastAsia="Times New Roman" w:hAnsi="Times New Roman"/>
                <w:sz w:val="11"/>
                <w:szCs w:val="11"/>
                <w:b w:val="1"/>
                <w:bCs w:val="1"/>
                <w:color w:val="auto"/>
              </w:rPr>
              <w:t>Pharmacy Solutions</w:t>
            </w:r>
          </w:p>
        </w:tc>
        <w:tc>
          <w:tcPr>
            <w:tcW w:w="1000" w:type="dxa"/>
            <w:vAlign w:val="bottom"/>
            <w:tcBorders>
              <w:right w:val="single" w:sz="8" w:color="CFF0FC"/>
            </w:tcBorders>
            <w:gridSpan w:val="3"/>
            <w:shd w:val="clear" w:color="auto" w:fill="CFF0FC"/>
          </w:tcPr>
          <w:p>
            <w:pPr>
              <w:jc w:val="right"/>
              <w:ind w:right="100"/>
              <w:spacing w:after="0" w:line="109" w:lineRule="exact"/>
              <w:rPr>
                <w:sz w:val="20"/>
                <w:szCs w:val="20"/>
                <w:color w:val="auto"/>
              </w:rPr>
            </w:pPr>
            <w:r>
              <w:rPr>
                <w:rFonts w:ascii="Times New Roman" w:cs="Times New Roman" w:eastAsia="Times New Roman" w:hAnsi="Times New Roman"/>
                <w:sz w:val="11"/>
                <w:szCs w:val="11"/>
                <w:b w:val="1"/>
                <w:bCs w:val="1"/>
                <w:color w:val="auto"/>
              </w:rPr>
              <w:t>28.1%</w:t>
            </w:r>
          </w:p>
        </w:tc>
        <w:tc>
          <w:tcPr>
            <w:tcW w:w="760" w:type="dxa"/>
            <w:vAlign w:val="bottom"/>
            <w:tcBorders>
              <w:right w:val="single" w:sz="8" w:color="CFF0FC"/>
            </w:tcBorders>
            <w:gridSpan w:val="3"/>
            <w:shd w:val="clear" w:color="auto" w:fill="CFF0FC"/>
          </w:tcPr>
          <w:p>
            <w:pPr>
              <w:jc w:val="right"/>
              <w:ind w:right="80"/>
              <w:spacing w:after="0" w:line="109" w:lineRule="exact"/>
              <w:rPr>
                <w:sz w:val="20"/>
                <w:szCs w:val="20"/>
                <w:color w:val="auto"/>
              </w:rPr>
            </w:pPr>
            <w:r>
              <w:rPr>
                <w:rFonts w:ascii="Times New Roman" w:cs="Times New Roman" w:eastAsia="Times New Roman" w:hAnsi="Times New Roman"/>
                <w:sz w:val="11"/>
                <w:szCs w:val="11"/>
                <w:b w:val="1"/>
                <w:bCs w:val="1"/>
                <w:color w:val="auto"/>
              </w:rPr>
              <w:t>8.9%</w:t>
            </w:r>
          </w:p>
        </w:tc>
        <w:tc>
          <w:tcPr>
            <w:tcW w:w="720" w:type="dxa"/>
            <w:vAlign w:val="bottom"/>
            <w:tcBorders>
              <w:right w:val="single" w:sz="8" w:color="CFF0FC"/>
            </w:tcBorders>
            <w:gridSpan w:val="2"/>
            <w:shd w:val="clear" w:color="auto" w:fill="CFF0FC"/>
          </w:tcPr>
          <w:p>
            <w:pPr>
              <w:jc w:val="right"/>
              <w:ind w:right="80"/>
              <w:spacing w:after="0" w:line="109" w:lineRule="exact"/>
              <w:rPr>
                <w:sz w:val="20"/>
                <w:szCs w:val="20"/>
                <w:color w:val="auto"/>
              </w:rPr>
            </w:pPr>
            <w:r>
              <w:rPr>
                <w:rFonts w:ascii="Times New Roman" w:cs="Times New Roman" w:eastAsia="Times New Roman" w:hAnsi="Times New Roman"/>
                <w:sz w:val="11"/>
                <w:szCs w:val="11"/>
                <w:b w:val="1"/>
                <w:bCs w:val="1"/>
                <w:color w:val="auto"/>
              </w:rPr>
              <w:t>3.2%</w:t>
            </w:r>
          </w:p>
        </w:tc>
        <w:tc>
          <w:tcPr>
            <w:tcW w:w="720" w:type="dxa"/>
            <w:vAlign w:val="bottom"/>
            <w:tcBorders>
              <w:right w:val="single" w:sz="8" w:color="CFF0FC"/>
            </w:tcBorders>
            <w:gridSpan w:val="2"/>
            <w:shd w:val="clear" w:color="auto" w:fill="CFF0FC"/>
          </w:tcPr>
          <w:p>
            <w:pPr>
              <w:jc w:val="right"/>
              <w:ind w:right="80"/>
              <w:spacing w:after="0" w:line="109" w:lineRule="exact"/>
              <w:rPr>
                <w:sz w:val="20"/>
                <w:szCs w:val="20"/>
                <w:color w:val="auto"/>
              </w:rPr>
            </w:pPr>
            <w:r>
              <w:rPr>
                <w:rFonts w:ascii="Times New Roman" w:cs="Times New Roman" w:eastAsia="Times New Roman" w:hAnsi="Times New Roman"/>
                <w:sz w:val="11"/>
                <w:szCs w:val="11"/>
                <w:b w:val="1"/>
                <w:bCs w:val="1"/>
                <w:color w:val="auto"/>
              </w:rPr>
              <w:t>0.4%</w:t>
            </w:r>
          </w:p>
        </w:tc>
        <w:tc>
          <w:tcPr>
            <w:tcW w:w="720" w:type="dxa"/>
            <w:vAlign w:val="bottom"/>
            <w:tcBorders>
              <w:right w:val="single" w:sz="8" w:color="CFF0FC"/>
            </w:tcBorders>
            <w:gridSpan w:val="2"/>
            <w:shd w:val="clear" w:color="auto" w:fill="CFF0FC"/>
          </w:tcPr>
          <w:p>
            <w:pPr>
              <w:jc w:val="right"/>
              <w:ind w:right="80"/>
              <w:spacing w:after="0" w:line="109" w:lineRule="exact"/>
              <w:rPr>
                <w:sz w:val="20"/>
                <w:szCs w:val="20"/>
                <w:color w:val="auto"/>
              </w:rPr>
            </w:pPr>
            <w:r>
              <w:rPr>
                <w:rFonts w:ascii="Times New Roman" w:cs="Times New Roman" w:eastAsia="Times New Roman" w:hAnsi="Times New Roman"/>
                <w:sz w:val="11"/>
                <w:szCs w:val="11"/>
                <w:b w:val="1"/>
                <w:bCs w:val="1"/>
                <w:color w:val="auto"/>
              </w:rPr>
              <w:t>16.8%</w:t>
            </w:r>
          </w:p>
        </w:tc>
        <w:tc>
          <w:tcPr>
            <w:tcW w:w="740" w:type="dxa"/>
            <w:vAlign w:val="bottom"/>
            <w:tcBorders>
              <w:right w:val="single" w:sz="8" w:color="CFF0FC"/>
            </w:tcBorders>
            <w:gridSpan w:val="2"/>
            <w:shd w:val="clear" w:color="auto" w:fill="CFF0FC"/>
          </w:tcPr>
          <w:p>
            <w:pPr>
              <w:jc w:val="right"/>
              <w:ind w:right="80"/>
              <w:spacing w:after="0" w:line="109" w:lineRule="exact"/>
              <w:rPr>
                <w:sz w:val="20"/>
                <w:szCs w:val="20"/>
                <w:color w:val="auto"/>
              </w:rPr>
            </w:pPr>
            <w:r>
              <w:rPr>
                <w:rFonts w:ascii="Times New Roman" w:cs="Times New Roman" w:eastAsia="Times New Roman" w:hAnsi="Times New Roman"/>
                <w:sz w:val="11"/>
                <w:szCs w:val="11"/>
                <w:b w:val="1"/>
                <w:bCs w:val="1"/>
                <w:color w:val="auto"/>
              </w:rPr>
              <w:t>29.6%</w:t>
            </w:r>
          </w:p>
        </w:tc>
        <w:tc>
          <w:tcPr>
            <w:tcW w:w="720" w:type="dxa"/>
            <w:vAlign w:val="bottom"/>
            <w:tcBorders>
              <w:right w:val="single" w:sz="8" w:color="CFF0FC"/>
            </w:tcBorders>
            <w:gridSpan w:val="2"/>
            <w:shd w:val="clear" w:color="auto" w:fill="CFF0FC"/>
          </w:tcPr>
          <w:p>
            <w:pPr>
              <w:jc w:val="right"/>
              <w:ind w:right="80"/>
              <w:spacing w:after="0" w:line="109" w:lineRule="exact"/>
              <w:rPr>
                <w:sz w:val="20"/>
                <w:szCs w:val="20"/>
                <w:color w:val="auto"/>
              </w:rPr>
            </w:pPr>
            <w:r>
              <w:rPr>
                <w:rFonts w:ascii="Times New Roman" w:cs="Times New Roman" w:eastAsia="Times New Roman" w:hAnsi="Times New Roman"/>
                <w:sz w:val="11"/>
                <w:szCs w:val="11"/>
                <w:b w:val="1"/>
                <w:bCs w:val="1"/>
                <w:color w:val="auto"/>
              </w:rPr>
              <w:t>1.6%</w:t>
            </w:r>
          </w:p>
        </w:tc>
        <w:tc>
          <w:tcPr>
            <w:tcW w:w="640" w:type="dxa"/>
            <w:vAlign w:val="bottom"/>
            <w:gridSpan w:val="2"/>
            <w:shd w:val="clear" w:color="auto" w:fill="CFF0FC"/>
          </w:tcPr>
          <w:p>
            <w:pPr>
              <w:jc w:val="right"/>
              <w:ind w:right="20"/>
              <w:spacing w:after="0" w:line="109" w:lineRule="exact"/>
              <w:rPr>
                <w:sz w:val="20"/>
                <w:szCs w:val="20"/>
                <w:color w:val="auto"/>
              </w:rPr>
            </w:pPr>
            <w:r>
              <w:rPr>
                <w:rFonts w:ascii="Times New Roman" w:cs="Times New Roman" w:eastAsia="Times New Roman" w:hAnsi="Times New Roman"/>
                <w:sz w:val="11"/>
                <w:szCs w:val="11"/>
                <w:b w:val="1"/>
                <w:bCs w:val="1"/>
                <w:color w:val="auto"/>
              </w:rPr>
              <w:t>88.6%</w:t>
            </w:r>
          </w:p>
        </w:tc>
      </w:tr>
      <w:tr>
        <w:trPr>
          <w:trHeight w:val="118"/>
        </w:trPr>
        <w:tc>
          <w:tcPr>
            <w:tcW w:w="172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Home Health Care</w:t>
            </w:r>
          </w:p>
        </w:tc>
        <w:tc>
          <w:tcPr>
            <w:tcW w:w="1000" w:type="dxa"/>
            <w:vAlign w:val="bottom"/>
            <w:gridSpan w:val="3"/>
          </w:tcPr>
          <w:p>
            <w:pPr>
              <w:jc w:val="right"/>
              <w:ind w:right="100"/>
              <w:spacing w:after="0" w:line="119" w:lineRule="exact"/>
              <w:rPr>
                <w:sz w:val="20"/>
                <w:szCs w:val="20"/>
                <w:color w:val="auto"/>
              </w:rPr>
            </w:pPr>
            <w:r>
              <w:rPr>
                <w:rFonts w:ascii="Times New Roman" w:cs="Times New Roman" w:eastAsia="Times New Roman" w:hAnsi="Times New Roman"/>
                <w:sz w:val="11"/>
                <w:szCs w:val="11"/>
                <w:color w:val="auto"/>
              </w:rPr>
              <w:t>0.5%</w:t>
            </w:r>
          </w:p>
        </w:tc>
        <w:tc>
          <w:tcPr>
            <w:tcW w:w="760" w:type="dxa"/>
            <w:vAlign w:val="bottom"/>
            <w:gridSpan w:val="3"/>
          </w:tcPr>
          <w:p>
            <w:pPr>
              <w:jc w:val="right"/>
              <w:ind w:right="100"/>
              <w:spacing w:after="0" w:line="119" w:lineRule="exact"/>
              <w:rPr>
                <w:sz w:val="20"/>
                <w:szCs w:val="20"/>
                <w:color w:val="auto"/>
              </w:rPr>
            </w:pPr>
            <w:r>
              <w:rPr>
                <w:rFonts w:ascii="Times New Roman" w:cs="Times New Roman" w:eastAsia="Times New Roman" w:hAnsi="Times New Roman"/>
                <w:sz w:val="11"/>
                <w:szCs w:val="11"/>
                <w:color w:val="auto"/>
              </w:rPr>
              <w:t>0.3%</w:t>
            </w:r>
          </w:p>
        </w:tc>
        <w:tc>
          <w:tcPr>
            <w:tcW w:w="720" w:type="dxa"/>
            <w:vAlign w:val="bottom"/>
            <w:gridSpan w:val="2"/>
          </w:tcPr>
          <w:p>
            <w:pPr>
              <w:jc w:val="right"/>
              <w:ind w:right="100"/>
              <w:spacing w:after="0" w:line="119" w:lineRule="exact"/>
              <w:rPr>
                <w:sz w:val="20"/>
                <w:szCs w:val="20"/>
                <w:color w:val="auto"/>
              </w:rPr>
            </w:pPr>
            <w:r>
              <w:rPr>
                <w:rFonts w:ascii="Times New Roman" w:cs="Times New Roman" w:eastAsia="Times New Roman" w:hAnsi="Times New Roman"/>
                <w:sz w:val="11"/>
                <w:szCs w:val="11"/>
                <w:color w:val="auto"/>
              </w:rPr>
              <w:t>4.4%</w:t>
            </w:r>
          </w:p>
        </w:tc>
        <w:tc>
          <w:tcPr>
            <w:tcW w:w="720" w:type="dxa"/>
            <w:vAlign w:val="bottom"/>
            <w:gridSpan w:val="2"/>
          </w:tcPr>
          <w:p>
            <w:pPr>
              <w:jc w:val="right"/>
              <w:ind w:right="100"/>
              <w:spacing w:after="0" w:line="119" w:lineRule="exact"/>
              <w:rPr>
                <w:sz w:val="20"/>
                <w:szCs w:val="20"/>
                <w:color w:val="auto"/>
              </w:rPr>
            </w:pPr>
            <w:r>
              <w:rPr>
                <w:rFonts w:ascii="Times New Roman" w:cs="Times New Roman" w:eastAsia="Times New Roman" w:hAnsi="Times New Roman"/>
                <w:sz w:val="11"/>
                <w:szCs w:val="11"/>
                <w:color w:val="auto"/>
              </w:rPr>
              <w:t>0.1%</w:t>
            </w:r>
          </w:p>
        </w:tc>
        <w:tc>
          <w:tcPr>
            <w:tcW w:w="720" w:type="dxa"/>
            <w:vAlign w:val="bottom"/>
            <w:gridSpan w:val="2"/>
          </w:tcPr>
          <w:p>
            <w:pPr>
              <w:jc w:val="right"/>
              <w:ind w:right="100"/>
              <w:spacing w:after="0" w:line="119" w:lineRule="exact"/>
              <w:rPr>
                <w:sz w:val="20"/>
                <w:szCs w:val="20"/>
                <w:color w:val="auto"/>
              </w:rPr>
            </w:pPr>
            <w:r>
              <w:rPr>
                <w:rFonts w:ascii="Times New Roman" w:cs="Times New Roman" w:eastAsia="Times New Roman" w:hAnsi="Times New Roman"/>
                <w:sz w:val="11"/>
                <w:szCs w:val="11"/>
                <w:color w:val="auto"/>
              </w:rPr>
              <w:t>1.5%</w:t>
            </w:r>
          </w:p>
        </w:tc>
        <w:tc>
          <w:tcPr>
            <w:tcW w:w="740" w:type="dxa"/>
            <w:vAlign w:val="bottom"/>
            <w:gridSpan w:val="2"/>
          </w:tcPr>
          <w:p>
            <w:pPr>
              <w:jc w:val="right"/>
              <w:ind w:right="200"/>
              <w:spacing w:after="0" w:line="119"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00"/>
              <w:spacing w:after="0" w:line="119" w:lineRule="exact"/>
              <w:rPr>
                <w:sz w:val="20"/>
                <w:szCs w:val="20"/>
                <w:color w:val="auto"/>
              </w:rPr>
            </w:pPr>
            <w:r>
              <w:rPr>
                <w:rFonts w:ascii="Times New Roman" w:cs="Times New Roman" w:eastAsia="Times New Roman" w:hAnsi="Times New Roman"/>
                <w:sz w:val="11"/>
                <w:szCs w:val="11"/>
                <w:color w:val="auto"/>
              </w:rPr>
              <w:t>0.1%</w:t>
            </w:r>
          </w:p>
        </w:tc>
        <w:tc>
          <w:tcPr>
            <w:tcW w:w="640" w:type="dxa"/>
            <w:vAlign w:val="bottom"/>
            <w:gridSpan w:val="2"/>
          </w:tcPr>
          <w:p>
            <w:pPr>
              <w:jc w:val="right"/>
              <w:ind w:right="40"/>
              <w:spacing w:after="0" w:line="119" w:lineRule="exact"/>
              <w:rPr>
                <w:sz w:val="20"/>
                <w:szCs w:val="20"/>
                <w:color w:val="auto"/>
              </w:rPr>
            </w:pPr>
            <w:r>
              <w:rPr>
                <w:rFonts w:ascii="Times New Roman" w:cs="Times New Roman" w:eastAsia="Times New Roman" w:hAnsi="Times New Roman"/>
                <w:sz w:val="11"/>
                <w:szCs w:val="11"/>
                <w:color w:val="auto"/>
              </w:rPr>
              <w:t>6.9%</w:t>
            </w:r>
          </w:p>
        </w:tc>
      </w:tr>
      <w:tr>
        <w:trPr>
          <w:trHeight w:val="118"/>
        </w:trPr>
        <w:tc>
          <w:tcPr>
            <w:tcW w:w="1720" w:type="dxa"/>
            <w:vAlign w:val="bottom"/>
            <w:shd w:val="clear" w:color="auto" w:fill="CFF0FC"/>
          </w:tcPr>
          <w:p>
            <w:pPr>
              <w:spacing w:after="0" w:line="119" w:lineRule="exact"/>
              <w:rPr>
                <w:sz w:val="20"/>
                <w:szCs w:val="20"/>
                <w:color w:val="auto"/>
              </w:rPr>
            </w:pPr>
            <w:r>
              <w:rPr>
                <w:rFonts w:ascii="Times New Roman" w:cs="Times New Roman" w:eastAsia="Times New Roman" w:hAnsi="Times New Roman"/>
                <w:sz w:val="11"/>
                <w:szCs w:val="11"/>
                <w:color w:val="auto"/>
              </w:rPr>
              <w:t>Rehab Care</w:t>
            </w:r>
          </w:p>
        </w:tc>
        <w:tc>
          <w:tcPr>
            <w:tcW w:w="1000" w:type="dxa"/>
            <w:vAlign w:val="bottom"/>
            <w:tcBorders>
              <w:right w:val="single" w:sz="8" w:color="CFF0FC"/>
            </w:tcBorders>
            <w:gridSpan w:val="3"/>
            <w:shd w:val="clear" w:color="auto" w:fill="CFF0FC"/>
          </w:tcPr>
          <w:p>
            <w:pPr>
              <w:jc w:val="right"/>
              <w:ind w:right="100"/>
              <w:spacing w:after="0" w:line="119" w:lineRule="exact"/>
              <w:rPr>
                <w:sz w:val="20"/>
                <w:szCs w:val="20"/>
                <w:color w:val="auto"/>
              </w:rPr>
            </w:pPr>
            <w:r>
              <w:rPr>
                <w:rFonts w:ascii="Times New Roman" w:cs="Times New Roman" w:eastAsia="Times New Roman" w:hAnsi="Times New Roman"/>
                <w:sz w:val="11"/>
                <w:szCs w:val="11"/>
                <w:color w:val="auto"/>
              </w:rPr>
              <w:t>0.9%</w:t>
            </w:r>
          </w:p>
        </w:tc>
        <w:tc>
          <w:tcPr>
            <w:tcW w:w="760" w:type="dxa"/>
            <w:vAlign w:val="bottom"/>
            <w:tcBorders>
              <w:right w:val="single" w:sz="8" w:color="CFF0FC"/>
            </w:tcBorders>
            <w:gridSpan w:val="3"/>
            <w:shd w:val="clear" w:color="auto" w:fill="CFF0FC"/>
          </w:tcPr>
          <w:p>
            <w:pPr>
              <w:jc w:val="right"/>
              <w:ind w:right="100"/>
              <w:spacing w:after="0" w:line="119" w:lineRule="exact"/>
              <w:rPr>
                <w:sz w:val="20"/>
                <w:szCs w:val="20"/>
                <w:color w:val="auto"/>
              </w:rPr>
            </w:pPr>
            <w:r>
              <w:rPr>
                <w:rFonts w:ascii="Times New Roman" w:cs="Times New Roman" w:eastAsia="Times New Roman" w:hAnsi="Times New Roman"/>
                <w:sz w:val="11"/>
                <w:szCs w:val="11"/>
                <w:color w:val="auto"/>
              </w:rPr>
              <w:t>0.6%</w:t>
            </w:r>
          </w:p>
        </w:tc>
        <w:tc>
          <w:tcPr>
            <w:tcW w:w="720" w:type="dxa"/>
            <w:vAlign w:val="bottom"/>
            <w:tcBorders>
              <w:right w:val="single" w:sz="8" w:color="CFF0FC"/>
            </w:tcBorders>
            <w:gridSpan w:val="2"/>
            <w:shd w:val="clear" w:color="auto" w:fill="CFF0FC"/>
          </w:tcPr>
          <w:p>
            <w:pPr>
              <w:jc w:val="right"/>
              <w:ind w:right="200"/>
              <w:spacing w:after="0" w:line="119"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right w:val="single" w:sz="8" w:color="CFF0FC"/>
            </w:tcBorders>
            <w:gridSpan w:val="2"/>
            <w:shd w:val="clear" w:color="auto" w:fill="CFF0FC"/>
          </w:tcPr>
          <w:p>
            <w:pPr>
              <w:jc w:val="right"/>
              <w:ind w:right="100"/>
              <w:spacing w:after="0" w:line="119" w:lineRule="exact"/>
              <w:rPr>
                <w:sz w:val="20"/>
                <w:szCs w:val="20"/>
                <w:color w:val="auto"/>
              </w:rPr>
            </w:pPr>
            <w:r>
              <w:rPr>
                <w:rFonts w:ascii="Times New Roman" w:cs="Times New Roman" w:eastAsia="Times New Roman" w:hAnsi="Times New Roman"/>
                <w:sz w:val="11"/>
                <w:szCs w:val="11"/>
                <w:color w:val="auto"/>
              </w:rPr>
              <w:t>0.0%</w:t>
            </w:r>
          </w:p>
        </w:tc>
        <w:tc>
          <w:tcPr>
            <w:tcW w:w="720" w:type="dxa"/>
            <w:vAlign w:val="bottom"/>
            <w:tcBorders>
              <w:right w:val="single" w:sz="8" w:color="CFF0FC"/>
            </w:tcBorders>
            <w:gridSpan w:val="2"/>
            <w:shd w:val="clear" w:color="auto" w:fill="CFF0FC"/>
          </w:tcPr>
          <w:p>
            <w:pPr>
              <w:jc w:val="right"/>
              <w:ind w:right="100"/>
              <w:spacing w:after="0" w:line="119" w:lineRule="exact"/>
              <w:rPr>
                <w:sz w:val="20"/>
                <w:szCs w:val="20"/>
                <w:color w:val="auto"/>
              </w:rPr>
            </w:pPr>
            <w:r>
              <w:rPr>
                <w:rFonts w:ascii="Times New Roman" w:cs="Times New Roman" w:eastAsia="Times New Roman" w:hAnsi="Times New Roman"/>
                <w:sz w:val="11"/>
                <w:szCs w:val="11"/>
                <w:color w:val="auto"/>
              </w:rPr>
              <w:t>0.1%</w:t>
            </w:r>
          </w:p>
        </w:tc>
        <w:tc>
          <w:tcPr>
            <w:tcW w:w="740" w:type="dxa"/>
            <w:vAlign w:val="bottom"/>
            <w:tcBorders>
              <w:right w:val="single" w:sz="8" w:color="CFF0FC"/>
            </w:tcBorders>
            <w:gridSpan w:val="2"/>
            <w:shd w:val="clear" w:color="auto" w:fill="CFF0FC"/>
          </w:tcPr>
          <w:p>
            <w:pPr>
              <w:jc w:val="right"/>
              <w:ind w:right="200"/>
              <w:spacing w:after="0" w:line="119"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right w:val="single" w:sz="8" w:color="CFF0FC"/>
            </w:tcBorders>
            <w:gridSpan w:val="2"/>
            <w:shd w:val="clear" w:color="auto" w:fill="CFF0FC"/>
          </w:tcPr>
          <w:p>
            <w:pPr>
              <w:jc w:val="right"/>
              <w:ind w:right="100"/>
              <w:spacing w:after="0" w:line="119" w:lineRule="exact"/>
              <w:rPr>
                <w:sz w:val="20"/>
                <w:szCs w:val="20"/>
                <w:color w:val="auto"/>
              </w:rPr>
            </w:pPr>
            <w:r>
              <w:rPr>
                <w:rFonts w:ascii="Times New Roman" w:cs="Times New Roman" w:eastAsia="Times New Roman" w:hAnsi="Times New Roman"/>
                <w:sz w:val="11"/>
                <w:szCs w:val="11"/>
                <w:color w:val="auto"/>
              </w:rPr>
              <w:t>0.3%</w:t>
            </w:r>
          </w:p>
        </w:tc>
        <w:tc>
          <w:tcPr>
            <w:tcW w:w="640" w:type="dxa"/>
            <w:vAlign w:val="bottom"/>
            <w:gridSpan w:val="2"/>
            <w:shd w:val="clear" w:color="auto" w:fill="CFF0FC"/>
          </w:tcPr>
          <w:p>
            <w:pPr>
              <w:jc w:val="right"/>
              <w:ind w:right="40"/>
              <w:spacing w:after="0" w:line="119" w:lineRule="exact"/>
              <w:rPr>
                <w:sz w:val="20"/>
                <w:szCs w:val="20"/>
                <w:color w:val="auto"/>
              </w:rPr>
            </w:pPr>
            <w:r>
              <w:rPr>
                <w:rFonts w:ascii="Times New Roman" w:cs="Times New Roman" w:eastAsia="Times New Roman" w:hAnsi="Times New Roman"/>
                <w:sz w:val="11"/>
                <w:szCs w:val="11"/>
                <w:color w:val="auto"/>
              </w:rPr>
              <w:t>1.9%</w:t>
            </w:r>
          </w:p>
        </w:tc>
      </w:tr>
      <w:tr>
        <w:trPr>
          <w:trHeight w:val="118"/>
        </w:trPr>
        <w:tc>
          <w:tcPr>
            <w:tcW w:w="172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Personal Care</w:t>
            </w:r>
          </w:p>
        </w:tc>
        <w:tc>
          <w:tcPr>
            <w:tcW w:w="1000" w:type="dxa"/>
            <w:vAlign w:val="bottom"/>
            <w:gridSpan w:val="3"/>
          </w:tcPr>
          <w:p>
            <w:pPr>
              <w:jc w:val="right"/>
              <w:ind w:right="100"/>
              <w:spacing w:after="0" w:line="119" w:lineRule="exact"/>
              <w:rPr>
                <w:sz w:val="20"/>
                <w:szCs w:val="20"/>
                <w:color w:val="auto"/>
              </w:rPr>
            </w:pPr>
            <w:r>
              <w:rPr>
                <w:rFonts w:ascii="Times New Roman" w:cs="Times New Roman" w:eastAsia="Times New Roman" w:hAnsi="Times New Roman"/>
                <w:sz w:val="11"/>
                <w:szCs w:val="11"/>
                <w:color w:val="auto"/>
              </w:rPr>
              <w:t>0.1%</w:t>
            </w:r>
          </w:p>
        </w:tc>
        <w:tc>
          <w:tcPr>
            <w:tcW w:w="760" w:type="dxa"/>
            <w:vAlign w:val="bottom"/>
            <w:gridSpan w:val="3"/>
          </w:tcPr>
          <w:p>
            <w:pPr>
              <w:jc w:val="right"/>
              <w:ind w:right="100"/>
              <w:spacing w:after="0" w:line="119" w:lineRule="exact"/>
              <w:rPr>
                <w:sz w:val="20"/>
                <w:szCs w:val="20"/>
                <w:color w:val="auto"/>
              </w:rPr>
            </w:pPr>
            <w:r>
              <w:rPr>
                <w:rFonts w:ascii="Times New Roman" w:cs="Times New Roman" w:eastAsia="Times New Roman" w:hAnsi="Times New Roman"/>
                <w:sz w:val="11"/>
                <w:szCs w:val="11"/>
                <w:color w:val="auto"/>
              </w:rPr>
              <w:t>1.6%</w:t>
            </w:r>
          </w:p>
        </w:tc>
        <w:tc>
          <w:tcPr>
            <w:tcW w:w="720" w:type="dxa"/>
            <w:vAlign w:val="bottom"/>
            <w:gridSpan w:val="2"/>
          </w:tcPr>
          <w:p>
            <w:pPr>
              <w:jc w:val="right"/>
              <w:ind w:right="200"/>
              <w:spacing w:after="0" w:line="119"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200"/>
              <w:spacing w:after="0" w:line="119"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200"/>
              <w:spacing w:after="0" w:line="119"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200"/>
              <w:spacing w:after="0" w:line="119"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00"/>
              <w:spacing w:after="0" w:line="119" w:lineRule="exact"/>
              <w:rPr>
                <w:sz w:val="20"/>
                <w:szCs w:val="20"/>
                <w:color w:val="auto"/>
              </w:rPr>
            </w:pPr>
            <w:r>
              <w:rPr>
                <w:rFonts w:ascii="Times New Roman" w:cs="Times New Roman" w:eastAsia="Times New Roman" w:hAnsi="Times New Roman"/>
                <w:sz w:val="11"/>
                <w:szCs w:val="11"/>
                <w:color w:val="auto"/>
              </w:rPr>
              <w:t>0.9%</w:t>
            </w:r>
          </w:p>
        </w:tc>
        <w:tc>
          <w:tcPr>
            <w:tcW w:w="640" w:type="dxa"/>
            <w:vAlign w:val="bottom"/>
            <w:gridSpan w:val="2"/>
          </w:tcPr>
          <w:p>
            <w:pPr>
              <w:jc w:val="right"/>
              <w:ind w:right="40"/>
              <w:spacing w:after="0" w:line="119" w:lineRule="exact"/>
              <w:rPr>
                <w:sz w:val="20"/>
                <w:szCs w:val="20"/>
                <w:color w:val="auto"/>
              </w:rPr>
            </w:pPr>
            <w:r>
              <w:rPr>
                <w:rFonts w:ascii="Times New Roman" w:cs="Times New Roman" w:eastAsia="Times New Roman" w:hAnsi="Times New Roman"/>
                <w:sz w:val="11"/>
                <w:szCs w:val="11"/>
                <w:color w:val="auto"/>
              </w:rPr>
              <w:t>2.6%</w:t>
            </w:r>
          </w:p>
        </w:tc>
      </w:tr>
      <w:tr>
        <w:trPr>
          <w:trHeight w:val="20"/>
        </w:trPr>
        <w:tc>
          <w:tcPr>
            <w:tcW w:w="17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09"/>
        </w:trPr>
        <w:tc>
          <w:tcPr>
            <w:tcW w:w="1720" w:type="dxa"/>
            <w:vAlign w:val="bottom"/>
            <w:shd w:val="clear" w:color="auto" w:fill="CFF0FC"/>
          </w:tcPr>
          <w:p>
            <w:pPr>
              <w:ind w:left="140"/>
              <w:spacing w:after="0" w:line="109" w:lineRule="exact"/>
              <w:rPr>
                <w:sz w:val="20"/>
                <w:szCs w:val="20"/>
                <w:color w:val="auto"/>
              </w:rPr>
            </w:pPr>
            <w:r>
              <w:rPr>
                <w:rFonts w:ascii="Times New Roman" w:cs="Times New Roman" w:eastAsia="Times New Roman" w:hAnsi="Times New Roman"/>
                <w:sz w:val="11"/>
                <w:szCs w:val="11"/>
                <w:b w:val="1"/>
                <w:bCs w:val="1"/>
                <w:color w:val="auto"/>
              </w:rPr>
              <w:t>Provider Services</w:t>
            </w:r>
          </w:p>
        </w:tc>
        <w:tc>
          <w:tcPr>
            <w:tcW w:w="1000" w:type="dxa"/>
            <w:vAlign w:val="bottom"/>
            <w:tcBorders>
              <w:right w:val="single" w:sz="8" w:color="CFF0FC"/>
            </w:tcBorders>
            <w:gridSpan w:val="3"/>
            <w:shd w:val="clear" w:color="auto" w:fill="CFF0FC"/>
          </w:tcPr>
          <w:p>
            <w:pPr>
              <w:jc w:val="right"/>
              <w:ind w:right="100"/>
              <w:spacing w:after="0" w:line="109" w:lineRule="exact"/>
              <w:rPr>
                <w:sz w:val="20"/>
                <w:szCs w:val="20"/>
                <w:color w:val="auto"/>
              </w:rPr>
            </w:pPr>
            <w:r>
              <w:rPr>
                <w:rFonts w:ascii="Times New Roman" w:cs="Times New Roman" w:eastAsia="Times New Roman" w:hAnsi="Times New Roman"/>
                <w:sz w:val="11"/>
                <w:szCs w:val="11"/>
                <w:b w:val="1"/>
                <w:bCs w:val="1"/>
                <w:color w:val="auto"/>
              </w:rPr>
              <w:t>1.5%</w:t>
            </w:r>
          </w:p>
        </w:tc>
        <w:tc>
          <w:tcPr>
            <w:tcW w:w="760" w:type="dxa"/>
            <w:vAlign w:val="bottom"/>
            <w:tcBorders>
              <w:right w:val="single" w:sz="8" w:color="CFF0FC"/>
            </w:tcBorders>
            <w:gridSpan w:val="3"/>
            <w:shd w:val="clear" w:color="auto" w:fill="CFF0FC"/>
          </w:tcPr>
          <w:p>
            <w:pPr>
              <w:jc w:val="right"/>
              <w:ind w:right="80"/>
              <w:spacing w:after="0" w:line="109" w:lineRule="exact"/>
              <w:rPr>
                <w:sz w:val="20"/>
                <w:szCs w:val="20"/>
                <w:color w:val="auto"/>
              </w:rPr>
            </w:pPr>
            <w:r>
              <w:rPr>
                <w:rFonts w:ascii="Times New Roman" w:cs="Times New Roman" w:eastAsia="Times New Roman" w:hAnsi="Times New Roman"/>
                <w:sz w:val="11"/>
                <w:szCs w:val="11"/>
                <w:b w:val="1"/>
                <w:bCs w:val="1"/>
                <w:color w:val="auto"/>
              </w:rPr>
              <w:t>2.5%</w:t>
            </w:r>
          </w:p>
        </w:tc>
        <w:tc>
          <w:tcPr>
            <w:tcW w:w="720" w:type="dxa"/>
            <w:vAlign w:val="bottom"/>
            <w:tcBorders>
              <w:right w:val="single" w:sz="8" w:color="CFF0FC"/>
            </w:tcBorders>
            <w:gridSpan w:val="2"/>
            <w:shd w:val="clear" w:color="auto" w:fill="CFF0FC"/>
          </w:tcPr>
          <w:p>
            <w:pPr>
              <w:jc w:val="right"/>
              <w:ind w:right="80"/>
              <w:spacing w:after="0" w:line="109" w:lineRule="exact"/>
              <w:rPr>
                <w:sz w:val="20"/>
                <w:szCs w:val="20"/>
                <w:color w:val="auto"/>
              </w:rPr>
            </w:pPr>
            <w:r>
              <w:rPr>
                <w:rFonts w:ascii="Times New Roman" w:cs="Times New Roman" w:eastAsia="Times New Roman" w:hAnsi="Times New Roman"/>
                <w:sz w:val="11"/>
                <w:szCs w:val="11"/>
                <w:b w:val="1"/>
                <w:bCs w:val="1"/>
                <w:color w:val="auto"/>
              </w:rPr>
              <w:t>4.4%</w:t>
            </w:r>
          </w:p>
        </w:tc>
        <w:tc>
          <w:tcPr>
            <w:tcW w:w="720" w:type="dxa"/>
            <w:vAlign w:val="bottom"/>
            <w:tcBorders>
              <w:right w:val="single" w:sz="8" w:color="CFF0FC"/>
            </w:tcBorders>
            <w:gridSpan w:val="2"/>
            <w:shd w:val="clear" w:color="auto" w:fill="CFF0FC"/>
          </w:tcPr>
          <w:p>
            <w:pPr>
              <w:jc w:val="right"/>
              <w:ind w:right="80"/>
              <w:spacing w:after="0" w:line="109" w:lineRule="exact"/>
              <w:rPr>
                <w:sz w:val="20"/>
                <w:szCs w:val="20"/>
                <w:color w:val="auto"/>
              </w:rPr>
            </w:pPr>
            <w:r>
              <w:rPr>
                <w:rFonts w:ascii="Times New Roman" w:cs="Times New Roman" w:eastAsia="Times New Roman" w:hAnsi="Times New Roman"/>
                <w:sz w:val="11"/>
                <w:szCs w:val="11"/>
                <w:b w:val="1"/>
                <w:bCs w:val="1"/>
                <w:color w:val="auto"/>
              </w:rPr>
              <w:t>0.1%</w:t>
            </w:r>
          </w:p>
        </w:tc>
        <w:tc>
          <w:tcPr>
            <w:tcW w:w="720" w:type="dxa"/>
            <w:vAlign w:val="bottom"/>
            <w:tcBorders>
              <w:right w:val="single" w:sz="8" w:color="CFF0FC"/>
            </w:tcBorders>
            <w:gridSpan w:val="2"/>
            <w:shd w:val="clear" w:color="auto" w:fill="CFF0FC"/>
          </w:tcPr>
          <w:p>
            <w:pPr>
              <w:jc w:val="right"/>
              <w:ind w:right="80"/>
              <w:spacing w:after="0" w:line="109" w:lineRule="exact"/>
              <w:rPr>
                <w:sz w:val="20"/>
                <w:szCs w:val="20"/>
                <w:color w:val="auto"/>
              </w:rPr>
            </w:pPr>
            <w:r>
              <w:rPr>
                <w:rFonts w:ascii="Times New Roman" w:cs="Times New Roman" w:eastAsia="Times New Roman" w:hAnsi="Times New Roman"/>
                <w:sz w:val="11"/>
                <w:szCs w:val="11"/>
                <w:b w:val="1"/>
                <w:bCs w:val="1"/>
                <w:color w:val="auto"/>
              </w:rPr>
              <w:t>1.6%</w:t>
            </w:r>
          </w:p>
        </w:tc>
        <w:tc>
          <w:tcPr>
            <w:tcW w:w="740" w:type="dxa"/>
            <w:vAlign w:val="bottom"/>
            <w:tcBorders>
              <w:right w:val="single" w:sz="8" w:color="CFF0FC"/>
            </w:tcBorders>
            <w:gridSpan w:val="2"/>
            <w:shd w:val="clear" w:color="auto" w:fill="CFF0FC"/>
          </w:tcPr>
          <w:p>
            <w:pPr>
              <w:jc w:val="right"/>
              <w:ind w:right="200"/>
              <w:spacing w:after="0" w:line="109"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right w:val="single" w:sz="8" w:color="CFF0FC"/>
            </w:tcBorders>
            <w:gridSpan w:val="2"/>
            <w:shd w:val="clear" w:color="auto" w:fill="CFF0FC"/>
          </w:tcPr>
          <w:p>
            <w:pPr>
              <w:jc w:val="right"/>
              <w:ind w:right="80"/>
              <w:spacing w:after="0" w:line="109" w:lineRule="exact"/>
              <w:rPr>
                <w:sz w:val="20"/>
                <w:szCs w:val="20"/>
                <w:color w:val="auto"/>
              </w:rPr>
            </w:pPr>
            <w:r>
              <w:rPr>
                <w:rFonts w:ascii="Times New Roman" w:cs="Times New Roman" w:eastAsia="Times New Roman" w:hAnsi="Times New Roman"/>
                <w:sz w:val="11"/>
                <w:szCs w:val="11"/>
                <w:b w:val="1"/>
                <w:bCs w:val="1"/>
                <w:color w:val="auto"/>
              </w:rPr>
              <w:t>1.3%</w:t>
            </w:r>
          </w:p>
        </w:tc>
        <w:tc>
          <w:tcPr>
            <w:tcW w:w="640" w:type="dxa"/>
            <w:vAlign w:val="bottom"/>
            <w:gridSpan w:val="2"/>
            <w:shd w:val="clear" w:color="auto" w:fill="CFF0FC"/>
          </w:tcPr>
          <w:p>
            <w:pPr>
              <w:jc w:val="right"/>
              <w:ind w:right="20"/>
              <w:spacing w:after="0" w:line="109" w:lineRule="exact"/>
              <w:rPr>
                <w:sz w:val="20"/>
                <w:szCs w:val="20"/>
                <w:color w:val="auto"/>
              </w:rPr>
            </w:pPr>
            <w:r>
              <w:rPr>
                <w:rFonts w:ascii="Times New Roman" w:cs="Times New Roman" w:eastAsia="Times New Roman" w:hAnsi="Times New Roman"/>
                <w:sz w:val="11"/>
                <w:szCs w:val="11"/>
                <w:b w:val="1"/>
                <w:bCs w:val="1"/>
                <w:color w:val="auto"/>
              </w:rPr>
              <w:t>11.4%</w:t>
            </w:r>
          </w:p>
        </w:tc>
      </w:tr>
      <w:tr>
        <w:trPr>
          <w:trHeight w:val="20"/>
        </w:trPr>
        <w:tc>
          <w:tcPr>
            <w:tcW w:w="172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Borders>
              <w:left w:val="single" w:sz="8" w:color="auto"/>
              <w:right w:val="single" w:sz="8" w:color="CFF0FC"/>
            </w:tcBorders>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Borders>
              <w:left w:val="single" w:sz="8" w:color="auto"/>
              <w:right w:val="single" w:sz="8" w:color="CFF0FC"/>
            </w:tcBorders>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Borders>
              <w:left w:val="single" w:sz="8" w:color="auto"/>
              <w:right w:val="single" w:sz="8" w:color="CFF0FC"/>
            </w:tcBorders>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Borders>
              <w:left w:val="single" w:sz="8" w:color="auto"/>
              <w:right w:val="single" w:sz="8" w:color="CFF0FC"/>
            </w:tcBorders>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Borders>
              <w:left w:val="single" w:sz="8" w:color="auto"/>
              <w:right w:val="single" w:sz="8" w:color="CFF0FC"/>
            </w:tcBorders>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09"/>
        </w:trPr>
        <w:tc>
          <w:tcPr>
            <w:tcW w:w="1720" w:type="dxa"/>
            <w:vAlign w:val="bottom"/>
          </w:tcPr>
          <w:p>
            <w:pPr>
              <w:ind w:left="280"/>
              <w:spacing w:after="0" w:line="109" w:lineRule="exact"/>
              <w:rPr>
                <w:sz w:val="20"/>
                <w:szCs w:val="20"/>
                <w:color w:val="auto"/>
              </w:rPr>
            </w:pPr>
            <w:r>
              <w:rPr>
                <w:rFonts w:ascii="Times New Roman" w:cs="Times New Roman" w:eastAsia="Times New Roman" w:hAnsi="Times New Roman"/>
                <w:sz w:val="11"/>
                <w:szCs w:val="11"/>
                <w:b w:val="1"/>
                <w:bCs w:val="1"/>
                <w:color w:val="auto"/>
              </w:rPr>
              <w:t>Consolidated BrightSpring</w:t>
            </w:r>
          </w:p>
        </w:tc>
        <w:tc>
          <w:tcPr>
            <w:tcW w:w="1000" w:type="dxa"/>
            <w:vAlign w:val="bottom"/>
            <w:gridSpan w:val="3"/>
          </w:tcPr>
          <w:p>
            <w:pPr>
              <w:jc w:val="right"/>
              <w:ind w:right="100"/>
              <w:spacing w:after="0" w:line="109" w:lineRule="exact"/>
              <w:rPr>
                <w:sz w:val="20"/>
                <w:szCs w:val="20"/>
                <w:color w:val="auto"/>
              </w:rPr>
            </w:pPr>
            <w:r>
              <w:rPr>
                <w:rFonts w:ascii="Times New Roman" w:cs="Times New Roman" w:eastAsia="Times New Roman" w:hAnsi="Times New Roman"/>
                <w:sz w:val="11"/>
                <w:szCs w:val="11"/>
                <w:b w:val="1"/>
                <w:bCs w:val="1"/>
                <w:color w:val="auto"/>
              </w:rPr>
              <w:t>29.6%</w:t>
            </w:r>
          </w:p>
        </w:tc>
        <w:tc>
          <w:tcPr>
            <w:tcW w:w="760" w:type="dxa"/>
            <w:vAlign w:val="bottom"/>
            <w:gridSpan w:val="3"/>
          </w:tcPr>
          <w:p>
            <w:pPr>
              <w:jc w:val="right"/>
              <w:ind w:right="80"/>
              <w:spacing w:after="0" w:line="109" w:lineRule="exact"/>
              <w:rPr>
                <w:sz w:val="20"/>
                <w:szCs w:val="20"/>
                <w:color w:val="auto"/>
              </w:rPr>
            </w:pPr>
            <w:r>
              <w:rPr>
                <w:rFonts w:ascii="Times New Roman" w:cs="Times New Roman" w:eastAsia="Times New Roman" w:hAnsi="Times New Roman"/>
                <w:sz w:val="11"/>
                <w:szCs w:val="11"/>
                <w:b w:val="1"/>
                <w:bCs w:val="1"/>
                <w:color w:val="auto"/>
              </w:rPr>
              <w:t>11.4%</w:t>
            </w:r>
          </w:p>
        </w:tc>
        <w:tc>
          <w:tcPr>
            <w:tcW w:w="720" w:type="dxa"/>
            <w:vAlign w:val="bottom"/>
            <w:gridSpan w:val="2"/>
          </w:tcPr>
          <w:p>
            <w:pPr>
              <w:jc w:val="right"/>
              <w:ind w:right="80"/>
              <w:spacing w:after="0" w:line="109" w:lineRule="exact"/>
              <w:rPr>
                <w:sz w:val="20"/>
                <w:szCs w:val="20"/>
                <w:color w:val="auto"/>
              </w:rPr>
            </w:pPr>
            <w:r>
              <w:rPr>
                <w:rFonts w:ascii="Times New Roman" w:cs="Times New Roman" w:eastAsia="Times New Roman" w:hAnsi="Times New Roman"/>
                <w:sz w:val="11"/>
                <w:szCs w:val="11"/>
                <w:b w:val="1"/>
                <w:bCs w:val="1"/>
                <w:color w:val="auto"/>
              </w:rPr>
              <w:t>7.6%</w:t>
            </w:r>
          </w:p>
        </w:tc>
        <w:tc>
          <w:tcPr>
            <w:tcW w:w="720" w:type="dxa"/>
            <w:vAlign w:val="bottom"/>
            <w:gridSpan w:val="2"/>
          </w:tcPr>
          <w:p>
            <w:pPr>
              <w:jc w:val="right"/>
              <w:ind w:right="80"/>
              <w:spacing w:after="0" w:line="109" w:lineRule="exact"/>
              <w:rPr>
                <w:sz w:val="20"/>
                <w:szCs w:val="20"/>
                <w:color w:val="auto"/>
              </w:rPr>
            </w:pPr>
            <w:r>
              <w:rPr>
                <w:rFonts w:ascii="Times New Roman" w:cs="Times New Roman" w:eastAsia="Times New Roman" w:hAnsi="Times New Roman"/>
                <w:sz w:val="11"/>
                <w:szCs w:val="11"/>
                <w:b w:val="1"/>
                <w:bCs w:val="1"/>
                <w:color w:val="auto"/>
              </w:rPr>
              <w:t>0.5%</w:t>
            </w:r>
          </w:p>
        </w:tc>
        <w:tc>
          <w:tcPr>
            <w:tcW w:w="720" w:type="dxa"/>
            <w:vAlign w:val="bottom"/>
            <w:gridSpan w:val="2"/>
          </w:tcPr>
          <w:p>
            <w:pPr>
              <w:jc w:val="right"/>
              <w:ind w:right="80"/>
              <w:spacing w:after="0" w:line="109" w:lineRule="exact"/>
              <w:rPr>
                <w:sz w:val="20"/>
                <w:szCs w:val="20"/>
                <w:color w:val="auto"/>
              </w:rPr>
            </w:pPr>
            <w:r>
              <w:rPr>
                <w:rFonts w:ascii="Times New Roman" w:cs="Times New Roman" w:eastAsia="Times New Roman" w:hAnsi="Times New Roman"/>
                <w:sz w:val="11"/>
                <w:szCs w:val="11"/>
                <w:b w:val="1"/>
                <w:bCs w:val="1"/>
                <w:color w:val="auto"/>
              </w:rPr>
              <w:t>18.4%</w:t>
            </w:r>
          </w:p>
        </w:tc>
        <w:tc>
          <w:tcPr>
            <w:tcW w:w="740" w:type="dxa"/>
            <w:vAlign w:val="bottom"/>
            <w:gridSpan w:val="2"/>
          </w:tcPr>
          <w:p>
            <w:pPr>
              <w:jc w:val="right"/>
              <w:ind w:right="80"/>
              <w:spacing w:after="0" w:line="109" w:lineRule="exact"/>
              <w:rPr>
                <w:sz w:val="20"/>
                <w:szCs w:val="20"/>
                <w:color w:val="auto"/>
              </w:rPr>
            </w:pPr>
            <w:r>
              <w:rPr>
                <w:rFonts w:ascii="Times New Roman" w:cs="Times New Roman" w:eastAsia="Times New Roman" w:hAnsi="Times New Roman"/>
                <w:sz w:val="11"/>
                <w:szCs w:val="11"/>
                <w:b w:val="1"/>
                <w:bCs w:val="1"/>
                <w:color w:val="auto"/>
              </w:rPr>
              <w:t>29.6%</w:t>
            </w:r>
          </w:p>
        </w:tc>
        <w:tc>
          <w:tcPr>
            <w:tcW w:w="720" w:type="dxa"/>
            <w:vAlign w:val="bottom"/>
            <w:gridSpan w:val="2"/>
          </w:tcPr>
          <w:p>
            <w:pPr>
              <w:jc w:val="right"/>
              <w:ind w:right="80"/>
              <w:spacing w:after="0" w:line="109" w:lineRule="exact"/>
              <w:rPr>
                <w:sz w:val="20"/>
                <w:szCs w:val="20"/>
                <w:color w:val="auto"/>
              </w:rPr>
            </w:pPr>
            <w:r>
              <w:rPr>
                <w:rFonts w:ascii="Times New Roman" w:cs="Times New Roman" w:eastAsia="Times New Roman" w:hAnsi="Times New Roman"/>
                <w:sz w:val="11"/>
                <w:szCs w:val="11"/>
                <w:b w:val="1"/>
                <w:bCs w:val="1"/>
                <w:color w:val="auto"/>
              </w:rPr>
              <w:t>2.9%</w:t>
            </w:r>
          </w:p>
        </w:tc>
        <w:tc>
          <w:tcPr>
            <w:tcW w:w="640" w:type="dxa"/>
            <w:vAlign w:val="bottom"/>
            <w:gridSpan w:val="2"/>
          </w:tcPr>
          <w:p>
            <w:pPr>
              <w:jc w:val="right"/>
              <w:ind w:right="20"/>
              <w:spacing w:after="0" w:line="109" w:lineRule="exact"/>
              <w:rPr>
                <w:sz w:val="20"/>
                <w:szCs w:val="20"/>
                <w:color w:val="auto"/>
              </w:rPr>
            </w:pPr>
            <w:r>
              <w:rPr>
                <w:rFonts w:ascii="Times New Roman" w:cs="Times New Roman" w:eastAsia="Times New Roman" w:hAnsi="Times New Roman"/>
                <w:sz w:val="11"/>
                <w:szCs w:val="11"/>
                <w:b w:val="1"/>
                <w:bCs w:val="1"/>
                <w:color w:val="auto"/>
              </w:rPr>
              <w:t>100.0%</w:t>
            </w:r>
          </w:p>
        </w:tc>
      </w:tr>
      <w:tr>
        <w:trPr>
          <w:trHeight w:val="20"/>
        </w:trPr>
        <w:tc>
          <w:tcPr>
            <w:tcW w:w="17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48"/>
        </w:trPr>
        <w:tc>
          <w:tcPr>
            <w:tcW w:w="172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8"/>
          </w:tcPr>
          <w:p>
            <w:pPr>
              <w:ind w:left="40"/>
              <w:spacing w:after="0"/>
              <w:rPr>
                <w:sz w:val="20"/>
                <w:szCs w:val="20"/>
                <w:color w:val="auto"/>
              </w:rPr>
            </w:pPr>
            <w:r>
              <w:rPr>
                <w:rFonts w:ascii="Times New Roman" w:cs="Times New Roman" w:eastAsia="Times New Roman" w:hAnsi="Times New Roman"/>
                <w:sz w:val="11"/>
                <w:szCs w:val="11"/>
                <w:b w:val="1"/>
                <w:bCs w:val="1"/>
                <w:color w:val="auto"/>
              </w:rPr>
              <w:t>For the Three Months Ended September 30, 2025</w:t>
            </w:r>
          </w:p>
        </w:tc>
        <w:tc>
          <w:tcPr>
            <w:tcW w:w="5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96"/>
        </w:trPr>
        <w:tc>
          <w:tcPr>
            <w:tcW w:w="1720" w:type="dxa"/>
            <w:vAlign w:val="bottom"/>
          </w:tcPr>
          <w:p>
            <w:pPr>
              <w:spacing w:after="0"/>
              <w:rPr>
                <w:sz w:val="8"/>
                <w:szCs w:val="8"/>
                <w:color w:val="auto"/>
              </w:rPr>
            </w:pPr>
          </w:p>
        </w:tc>
        <w:tc>
          <w:tcPr>
            <w:tcW w:w="1000" w:type="dxa"/>
            <w:vAlign w:val="bottom"/>
            <w:gridSpan w:val="3"/>
          </w:tcPr>
          <w:p>
            <w:pPr>
              <w:jc w:val="right"/>
              <w:ind w:right="380"/>
              <w:spacing w:after="0" w:line="96" w:lineRule="exact"/>
              <w:rPr>
                <w:sz w:val="20"/>
                <w:szCs w:val="20"/>
                <w:color w:val="auto"/>
              </w:rPr>
            </w:pPr>
            <w:r>
              <w:rPr>
                <w:rFonts w:ascii="Times New Roman" w:cs="Times New Roman" w:eastAsia="Times New Roman" w:hAnsi="Times New Roman"/>
                <w:sz w:val="11"/>
                <w:szCs w:val="11"/>
                <w:b w:val="1"/>
                <w:bCs w:val="1"/>
                <w:color w:val="auto"/>
              </w:rPr>
              <w:t>Commercial</w:t>
            </w: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gridSpan w:val="2"/>
          </w:tcPr>
          <w:p>
            <w:pPr>
              <w:jc w:val="right"/>
              <w:ind w:right="320"/>
              <w:spacing w:after="0" w:line="96" w:lineRule="exact"/>
              <w:rPr>
                <w:sz w:val="20"/>
                <w:szCs w:val="20"/>
                <w:color w:val="auto"/>
              </w:rPr>
            </w:pPr>
            <w:r>
              <w:rPr>
                <w:rFonts w:ascii="Times New Roman" w:cs="Times New Roman" w:eastAsia="Times New Roman" w:hAnsi="Times New Roman"/>
                <w:sz w:val="11"/>
                <w:szCs w:val="11"/>
                <w:b w:val="1"/>
                <w:bCs w:val="1"/>
                <w:color w:val="auto"/>
                <w:w w:val="85"/>
              </w:rPr>
              <w:t>Medicare</w:t>
            </w:r>
          </w:p>
        </w:tc>
        <w:tc>
          <w:tcPr>
            <w:tcW w:w="720" w:type="dxa"/>
            <w:vAlign w:val="bottom"/>
            <w:gridSpan w:val="2"/>
          </w:tcPr>
          <w:p>
            <w:pPr>
              <w:jc w:val="right"/>
              <w:ind w:right="300"/>
              <w:spacing w:after="0" w:line="96" w:lineRule="exact"/>
              <w:rPr>
                <w:sz w:val="20"/>
                <w:szCs w:val="20"/>
                <w:color w:val="auto"/>
              </w:rPr>
            </w:pPr>
            <w:r>
              <w:rPr>
                <w:rFonts w:ascii="Times New Roman" w:cs="Times New Roman" w:eastAsia="Times New Roman" w:hAnsi="Times New Roman"/>
                <w:sz w:val="11"/>
                <w:szCs w:val="11"/>
                <w:b w:val="1"/>
                <w:bCs w:val="1"/>
                <w:color w:val="auto"/>
                <w:w w:val="89"/>
              </w:rPr>
              <w:t>Medicare</w:t>
            </w:r>
          </w:p>
        </w:tc>
        <w:tc>
          <w:tcPr>
            <w:tcW w:w="720" w:type="dxa"/>
            <w:vAlign w:val="bottom"/>
            <w:gridSpan w:val="2"/>
          </w:tcPr>
          <w:p>
            <w:pPr>
              <w:jc w:val="right"/>
              <w:ind w:right="280"/>
              <w:spacing w:after="0" w:line="96" w:lineRule="exact"/>
              <w:rPr>
                <w:sz w:val="20"/>
                <w:szCs w:val="20"/>
                <w:color w:val="auto"/>
              </w:rPr>
            </w:pPr>
            <w:r>
              <w:rPr>
                <w:rFonts w:ascii="Times New Roman" w:cs="Times New Roman" w:eastAsia="Times New Roman" w:hAnsi="Times New Roman"/>
                <w:sz w:val="11"/>
                <w:szCs w:val="11"/>
                <w:b w:val="1"/>
                <w:bCs w:val="1"/>
                <w:color w:val="auto"/>
                <w:w w:val="94"/>
              </w:rPr>
              <w:t>Medicare</w:t>
            </w:r>
          </w:p>
        </w:tc>
        <w:tc>
          <w:tcPr>
            <w:tcW w:w="740" w:type="dxa"/>
            <w:vAlign w:val="bottom"/>
            <w:gridSpan w:val="2"/>
          </w:tcPr>
          <w:p>
            <w:pPr>
              <w:jc w:val="right"/>
              <w:ind w:right="300"/>
              <w:spacing w:after="0" w:line="96" w:lineRule="exact"/>
              <w:rPr>
                <w:sz w:val="20"/>
                <w:szCs w:val="20"/>
                <w:color w:val="auto"/>
              </w:rPr>
            </w:pPr>
            <w:r>
              <w:rPr>
                <w:rFonts w:ascii="Times New Roman" w:cs="Times New Roman" w:eastAsia="Times New Roman" w:hAnsi="Times New Roman"/>
                <w:sz w:val="11"/>
                <w:szCs w:val="11"/>
                <w:b w:val="1"/>
                <w:bCs w:val="1"/>
                <w:color w:val="auto"/>
                <w:w w:val="94"/>
              </w:rPr>
              <w:t>Medicare</w:t>
            </w:r>
          </w:p>
        </w:tc>
        <w:tc>
          <w:tcPr>
            <w:tcW w:w="720" w:type="dxa"/>
            <w:vAlign w:val="bottom"/>
            <w:gridSpan w:val="2"/>
          </w:tcPr>
          <w:p>
            <w:pPr>
              <w:jc w:val="right"/>
              <w:ind w:right="280"/>
              <w:spacing w:after="0" w:line="96" w:lineRule="exact"/>
              <w:rPr>
                <w:sz w:val="20"/>
                <w:szCs w:val="20"/>
                <w:color w:val="auto"/>
              </w:rPr>
            </w:pPr>
            <w:r>
              <w:rPr>
                <w:rFonts w:ascii="Times New Roman" w:cs="Times New Roman" w:eastAsia="Times New Roman" w:hAnsi="Times New Roman"/>
                <w:sz w:val="11"/>
                <w:szCs w:val="11"/>
                <w:b w:val="1"/>
                <w:bCs w:val="1"/>
                <w:color w:val="auto"/>
                <w:w w:val="90"/>
              </w:rPr>
              <w:t>Private &amp;</w:t>
            </w: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131"/>
        </w:trPr>
        <w:tc>
          <w:tcPr>
            <w:tcW w:w="1720" w:type="dxa"/>
            <w:vAlign w:val="bottom"/>
          </w:tcPr>
          <w:p>
            <w:pPr>
              <w:spacing w:after="0"/>
              <w:rPr>
                <w:sz w:val="11"/>
                <w:szCs w:val="11"/>
                <w:color w:val="auto"/>
              </w:rPr>
            </w:pPr>
          </w:p>
        </w:tc>
        <w:tc>
          <w:tcPr>
            <w:tcW w:w="72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insurance</w:t>
            </w:r>
          </w:p>
        </w:tc>
        <w:tc>
          <w:tcPr>
            <w:tcW w:w="280" w:type="dxa"/>
            <w:vAlign w:val="bottom"/>
            <w:gridSpan w:val="2"/>
          </w:tcPr>
          <w:p>
            <w:pPr>
              <w:spacing w:after="0"/>
              <w:rPr>
                <w:sz w:val="11"/>
                <w:szCs w:val="11"/>
                <w:color w:val="auto"/>
              </w:rPr>
            </w:pPr>
          </w:p>
        </w:tc>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Medicaid</w:t>
            </w:r>
          </w:p>
        </w:tc>
        <w:tc>
          <w:tcPr>
            <w:tcW w:w="260" w:type="dxa"/>
            <w:vAlign w:val="bottom"/>
            <w:gridSpan w:val="2"/>
          </w:tcPr>
          <w:p>
            <w:pPr>
              <w:spacing w:after="0"/>
              <w:rPr>
                <w:sz w:val="11"/>
                <w:szCs w:val="11"/>
                <w:color w:val="auto"/>
              </w:rPr>
            </w:pPr>
          </w:p>
        </w:tc>
        <w:tc>
          <w:tcPr>
            <w:tcW w:w="4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Part A</w:t>
            </w:r>
          </w:p>
        </w:tc>
        <w:tc>
          <w:tcPr>
            <w:tcW w:w="240" w:type="dxa"/>
            <w:vAlign w:val="bottom"/>
          </w:tcPr>
          <w:p>
            <w:pPr>
              <w:spacing w:after="0"/>
              <w:rPr>
                <w:sz w:val="11"/>
                <w:szCs w:val="11"/>
                <w:color w:val="auto"/>
              </w:rPr>
            </w:pPr>
          </w:p>
        </w:tc>
        <w:tc>
          <w:tcPr>
            <w:tcW w:w="50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Part B</w:t>
            </w:r>
          </w:p>
        </w:tc>
        <w:tc>
          <w:tcPr>
            <w:tcW w:w="220" w:type="dxa"/>
            <w:vAlign w:val="bottom"/>
          </w:tcPr>
          <w:p>
            <w:pPr>
              <w:spacing w:after="0"/>
              <w:rPr>
                <w:sz w:val="11"/>
                <w:szCs w:val="11"/>
                <w:color w:val="auto"/>
              </w:rPr>
            </w:pP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Part C</w:t>
            </w:r>
          </w:p>
        </w:tc>
        <w:tc>
          <w:tcPr>
            <w:tcW w:w="220" w:type="dxa"/>
            <w:vAlign w:val="bottom"/>
          </w:tcPr>
          <w:p>
            <w:pPr>
              <w:spacing w:after="0"/>
              <w:rPr>
                <w:sz w:val="11"/>
                <w:szCs w:val="11"/>
                <w:color w:val="auto"/>
              </w:rPr>
            </w:pP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Part D</w:t>
            </w:r>
          </w:p>
        </w:tc>
        <w:tc>
          <w:tcPr>
            <w:tcW w:w="220" w:type="dxa"/>
            <w:vAlign w:val="bottom"/>
          </w:tcPr>
          <w:p>
            <w:pPr>
              <w:spacing w:after="0"/>
              <w:rPr>
                <w:sz w:val="11"/>
                <w:szCs w:val="11"/>
                <w:color w:val="auto"/>
              </w:rPr>
            </w:pP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other</w:t>
            </w:r>
          </w:p>
        </w:tc>
        <w:tc>
          <w:tcPr>
            <w:tcW w:w="220" w:type="dxa"/>
            <w:vAlign w:val="bottom"/>
          </w:tcPr>
          <w:p>
            <w:pPr>
              <w:spacing w:after="0"/>
              <w:rPr>
                <w:sz w:val="11"/>
                <w:szCs w:val="11"/>
                <w:color w:val="auto"/>
              </w:rPr>
            </w:pPr>
          </w:p>
        </w:tc>
        <w:tc>
          <w:tcPr>
            <w:tcW w:w="5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120" w:type="dxa"/>
            <w:vAlign w:val="bottom"/>
          </w:tcPr>
          <w:p>
            <w:pPr>
              <w:spacing w:after="0"/>
              <w:rPr>
                <w:sz w:val="11"/>
                <w:szCs w:val="11"/>
                <w:color w:val="auto"/>
              </w:rPr>
            </w:pPr>
          </w:p>
        </w:tc>
      </w:tr>
      <w:tr>
        <w:trPr>
          <w:trHeight w:val="109"/>
        </w:trPr>
        <w:tc>
          <w:tcPr>
            <w:tcW w:w="1720" w:type="dxa"/>
            <w:vAlign w:val="bottom"/>
            <w:shd w:val="clear" w:color="auto" w:fill="CFF0FC"/>
          </w:tcPr>
          <w:p>
            <w:pPr>
              <w:spacing w:after="0" w:line="109" w:lineRule="exact"/>
              <w:rPr>
                <w:sz w:val="20"/>
                <w:szCs w:val="20"/>
                <w:color w:val="auto"/>
              </w:rPr>
            </w:pPr>
            <w:r>
              <w:rPr>
                <w:rFonts w:ascii="Times New Roman" w:cs="Times New Roman" w:eastAsia="Times New Roman" w:hAnsi="Times New Roman"/>
                <w:sz w:val="11"/>
                <w:szCs w:val="11"/>
                <w:color w:val="auto"/>
              </w:rPr>
              <w:t>Specialty and Infusion Pharmacy</w:t>
            </w:r>
          </w:p>
        </w:tc>
        <w:tc>
          <w:tcPr>
            <w:tcW w:w="1000" w:type="dxa"/>
            <w:vAlign w:val="bottom"/>
            <w:tcBorders>
              <w:right w:val="single" w:sz="8" w:color="CFF0FC"/>
            </w:tcBorders>
            <w:gridSpan w:val="3"/>
            <w:shd w:val="clear" w:color="auto" w:fill="CFF0FC"/>
          </w:tcPr>
          <w:p>
            <w:pPr>
              <w:jc w:val="right"/>
              <w:ind w:right="200"/>
              <w:spacing w:after="0" w:line="109" w:lineRule="exact"/>
              <w:rPr>
                <w:sz w:val="20"/>
                <w:szCs w:val="20"/>
                <w:color w:val="auto"/>
              </w:rPr>
            </w:pPr>
            <w:r>
              <w:rPr>
                <w:rFonts w:ascii="Times New Roman" w:cs="Times New Roman" w:eastAsia="Times New Roman" w:hAnsi="Times New Roman"/>
                <w:sz w:val="11"/>
                <w:szCs w:val="11"/>
                <w:color w:val="auto"/>
              </w:rPr>
              <w:t>21.8%</w:t>
            </w:r>
          </w:p>
        </w:tc>
        <w:tc>
          <w:tcPr>
            <w:tcW w:w="760" w:type="dxa"/>
            <w:vAlign w:val="bottom"/>
            <w:tcBorders>
              <w:right w:val="single" w:sz="8" w:color="CFF0FC"/>
            </w:tcBorders>
            <w:gridSpan w:val="3"/>
            <w:shd w:val="clear" w:color="auto" w:fill="CFF0FC"/>
          </w:tcPr>
          <w:p>
            <w:pPr>
              <w:jc w:val="right"/>
              <w:ind w:right="180"/>
              <w:spacing w:after="0" w:line="109" w:lineRule="exact"/>
              <w:rPr>
                <w:sz w:val="20"/>
                <w:szCs w:val="20"/>
                <w:color w:val="auto"/>
              </w:rPr>
            </w:pPr>
            <w:r>
              <w:rPr>
                <w:rFonts w:ascii="Times New Roman" w:cs="Times New Roman" w:eastAsia="Times New Roman" w:hAnsi="Times New Roman"/>
                <w:sz w:val="11"/>
                <w:szCs w:val="11"/>
                <w:color w:val="auto"/>
              </w:rPr>
              <w:t>6.8%</w:t>
            </w:r>
          </w:p>
        </w:tc>
        <w:tc>
          <w:tcPr>
            <w:tcW w:w="720" w:type="dxa"/>
            <w:vAlign w:val="bottom"/>
            <w:tcBorders>
              <w:right w:val="single" w:sz="8" w:color="CFF0FC"/>
            </w:tcBorders>
            <w:gridSpan w:val="2"/>
            <w:shd w:val="clear" w:color="auto" w:fill="CFF0FC"/>
          </w:tcPr>
          <w:p>
            <w:pPr>
              <w:jc w:val="right"/>
              <w:ind w:right="240"/>
              <w:spacing w:after="0" w:line="109"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right w:val="single" w:sz="8" w:color="CFF0FC"/>
            </w:tcBorders>
            <w:gridSpan w:val="2"/>
            <w:shd w:val="clear" w:color="auto" w:fill="CFF0FC"/>
          </w:tcPr>
          <w:p>
            <w:pPr>
              <w:jc w:val="right"/>
              <w:ind w:right="140"/>
              <w:spacing w:after="0" w:line="109" w:lineRule="exact"/>
              <w:rPr>
                <w:sz w:val="20"/>
                <w:szCs w:val="20"/>
                <w:color w:val="auto"/>
              </w:rPr>
            </w:pPr>
            <w:r>
              <w:rPr>
                <w:rFonts w:ascii="Times New Roman" w:cs="Times New Roman" w:eastAsia="Times New Roman" w:hAnsi="Times New Roman"/>
                <w:sz w:val="11"/>
                <w:szCs w:val="11"/>
                <w:color w:val="auto"/>
              </w:rPr>
              <w:t>0.6%</w:t>
            </w:r>
          </w:p>
        </w:tc>
        <w:tc>
          <w:tcPr>
            <w:tcW w:w="720" w:type="dxa"/>
            <w:vAlign w:val="bottom"/>
            <w:tcBorders>
              <w:right w:val="single" w:sz="8" w:color="CFF0FC"/>
            </w:tcBorders>
            <w:gridSpan w:val="2"/>
            <w:shd w:val="clear" w:color="auto" w:fill="CFF0FC"/>
          </w:tcPr>
          <w:p>
            <w:pPr>
              <w:jc w:val="right"/>
              <w:ind w:right="120"/>
              <w:spacing w:after="0" w:line="109" w:lineRule="exact"/>
              <w:rPr>
                <w:sz w:val="20"/>
                <w:szCs w:val="20"/>
                <w:color w:val="auto"/>
              </w:rPr>
            </w:pPr>
            <w:r>
              <w:rPr>
                <w:rFonts w:ascii="Times New Roman" w:cs="Times New Roman" w:eastAsia="Times New Roman" w:hAnsi="Times New Roman"/>
                <w:sz w:val="11"/>
                <w:szCs w:val="11"/>
                <w:color w:val="auto"/>
              </w:rPr>
              <w:t>17.8%</w:t>
            </w:r>
          </w:p>
        </w:tc>
        <w:tc>
          <w:tcPr>
            <w:tcW w:w="740" w:type="dxa"/>
            <w:vAlign w:val="bottom"/>
            <w:tcBorders>
              <w:right w:val="single" w:sz="8" w:color="CFF0FC"/>
            </w:tcBorders>
            <w:gridSpan w:val="2"/>
            <w:shd w:val="clear" w:color="auto" w:fill="CFF0FC"/>
          </w:tcPr>
          <w:p>
            <w:pPr>
              <w:jc w:val="right"/>
              <w:ind w:right="140"/>
              <w:spacing w:after="0" w:line="109" w:lineRule="exact"/>
              <w:rPr>
                <w:sz w:val="20"/>
                <w:szCs w:val="20"/>
                <w:color w:val="auto"/>
              </w:rPr>
            </w:pPr>
            <w:r>
              <w:rPr>
                <w:rFonts w:ascii="Times New Roman" w:cs="Times New Roman" w:eastAsia="Times New Roman" w:hAnsi="Times New Roman"/>
                <w:sz w:val="11"/>
                <w:szCs w:val="11"/>
                <w:color w:val="auto"/>
              </w:rPr>
              <w:t>23.5%</w:t>
            </w:r>
          </w:p>
        </w:tc>
        <w:tc>
          <w:tcPr>
            <w:tcW w:w="720" w:type="dxa"/>
            <w:vAlign w:val="bottom"/>
            <w:tcBorders>
              <w:right w:val="single" w:sz="8" w:color="CFF0FC"/>
            </w:tcBorders>
            <w:gridSpan w:val="2"/>
            <w:shd w:val="clear" w:color="auto" w:fill="CFF0FC"/>
          </w:tcPr>
          <w:p>
            <w:pPr>
              <w:jc w:val="right"/>
              <w:ind w:right="120"/>
              <w:spacing w:after="0" w:line="109" w:lineRule="exact"/>
              <w:rPr>
                <w:sz w:val="20"/>
                <w:szCs w:val="20"/>
                <w:color w:val="auto"/>
              </w:rPr>
            </w:pPr>
            <w:r>
              <w:rPr>
                <w:rFonts w:ascii="Times New Roman" w:cs="Times New Roman" w:eastAsia="Times New Roman" w:hAnsi="Times New Roman"/>
                <w:sz w:val="11"/>
                <w:szCs w:val="11"/>
                <w:color w:val="auto"/>
              </w:rPr>
              <w:t>0.8%</w:t>
            </w:r>
          </w:p>
        </w:tc>
        <w:tc>
          <w:tcPr>
            <w:tcW w:w="640" w:type="dxa"/>
            <w:vAlign w:val="bottom"/>
            <w:gridSpan w:val="2"/>
            <w:shd w:val="clear" w:color="auto" w:fill="CFF0FC"/>
          </w:tcPr>
          <w:p>
            <w:pPr>
              <w:jc w:val="right"/>
              <w:ind w:right="40"/>
              <w:spacing w:after="0" w:line="109" w:lineRule="exact"/>
              <w:rPr>
                <w:sz w:val="20"/>
                <w:szCs w:val="20"/>
                <w:color w:val="auto"/>
              </w:rPr>
            </w:pPr>
            <w:r>
              <w:rPr>
                <w:rFonts w:ascii="Times New Roman" w:cs="Times New Roman" w:eastAsia="Times New Roman" w:hAnsi="Times New Roman"/>
                <w:sz w:val="11"/>
                <w:szCs w:val="11"/>
                <w:color w:val="auto"/>
              </w:rPr>
              <w:t>71.3%</w:t>
            </w:r>
          </w:p>
        </w:tc>
      </w:tr>
      <w:tr>
        <w:trPr>
          <w:trHeight w:val="118"/>
        </w:trPr>
        <w:tc>
          <w:tcPr>
            <w:tcW w:w="172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Home and Community Pharmacy</w:t>
            </w:r>
          </w:p>
        </w:tc>
        <w:tc>
          <w:tcPr>
            <w:tcW w:w="1000" w:type="dxa"/>
            <w:vAlign w:val="bottom"/>
            <w:gridSpan w:val="3"/>
          </w:tcPr>
          <w:p>
            <w:pPr>
              <w:jc w:val="right"/>
              <w:ind w:right="200"/>
              <w:spacing w:after="0" w:line="119" w:lineRule="exact"/>
              <w:rPr>
                <w:sz w:val="20"/>
                <w:szCs w:val="20"/>
                <w:color w:val="auto"/>
              </w:rPr>
            </w:pPr>
            <w:r>
              <w:rPr>
                <w:rFonts w:ascii="Times New Roman" w:cs="Times New Roman" w:eastAsia="Times New Roman" w:hAnsi="Times New Roman"/>
                <w:sz w:val="11"/>
                <w:szCs w:val="11"/>
                <w:color w:val="auto"/>
              </w:rPr>
              <w:t>2.7%</w:t>
            </w:r>
          </w:p>
        </w:tc>
        <w:tc>
          <w:tcPr>
            <w:tcW w:w="760" w:type="dxa"/>
            <w:vAlign w:val="bottom"/>
            <w:gridSpan w:val="3"/>
          </w:tcPr>
          <w:p>
            <w:pPr>
              <w:jc w:val="right"/>
              <w:ind w:right="180"/>
              <w:spacing w:after="0" w:line="119" w:lineRule="exact"/>
              <w:rPr>
                <w:sz w:val="20"/>
                <w:szCs w:val="20"/>
                <w:color w:val="auto"/>
              </w:rPr>
            </w:pPr>
            <w:r>
              <w:rPr>
                <w:rFonts w:ascii="Times New Roman" w:cs="Times New Roman" w:eastAsia="Times New Roman" w:hAnsi="Times New Roman"/>
                <w:sz w:val="11"/>
                <w:szCs w:val="11"/>
                <w:color w:val="auto"/>
              </w:rPr>
              <w:t>1.8%</w:t>
            </w:r>
          </w:p>
        </w:tc>
        <w:tc>
          <w:tcPr>
            <w:tcW w:w="720" w:type="dxa"/>
            <w:vAlign w:val="bottom"/>
            <w:gridSpan w:val="2"/>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4.3%</w:t>
            </w:r>
          </w:p>
        </w:tc>
        <w:tc>
          <w:tcPr>
            <w:tcW w:w="720" w:type="dxa"/>
            <w:vAlign w:val="bottom"/>
            <w:gridSpan w:val="2"/>
          </w:tcPr>
          <w:p>
            <w:pPr>
              <w:jc w:val="right"/>
              <w:ind w:right="240"/>
              <w:spacing w:after="0" w:line="119"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0.0%</w:t>
            </w:r>
          </w:p>
        </w:tc>
        <w:tc>
          <w:tcPr>
            <w:tcW w:w="740" w:type="dxa"/>
            <w:vAlign w:val="bottom"/>
            <w:gridSpan w:val="2"/>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8.2%</w:t>
            </w:r>
          </w:p>
        </w:tc>
        <w:tc>
          <w:tcPr>
            <w:tcW w:w="720" w:type="dxa"/>
            <w:vAlign w:val="bottom"/>
            <w:gridSpan w:val="2"/>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0.7%</w:t>
            </w:r>
          </w:p>
        </w:tc>
        <w:tc>
          <w:tcPr>
            <w:tcW w:w="640" w:type="dxa"/>
            <w:vAlign w:val="bottom"/>
            <w:gridSpan w:val="2"/>
          </w:tcPr>
          <w:p>
            <w:pPr>
              <w:jc w:val="right"/>
              <w:ind w:right="40"/>
              <w:spacing w:after="0" w:line="119" w:lineRule="exact"/>
              <w:rPr>
                <w:sz w:val="20"/>
                <w:szCs w:val="20"/>
                <w:color w:val="auto"/>
              </w:rPr>
            </w:pPr>
            <w:r>
              <w:rPr>
                <w:rFonts w:ascii="Times New Roman" w:cs="Times New Roman" w:eastAsia="Times New Roman" w:hAnsi="Times New Roman"/>
                <w:sz w:val="11"/>
                <w:szCs w:val="11"/>
                <w:color w:val="auto"/>
              </w:rPr>
              <w:t>17.7%</w:t>
            </w:r>
          </w:p>
        </w:tc>
      </w:tr>
      <w:tr>
        <w:trPr>
          <w:trHeight w:val="20"/>
        </w:trPr>
        <w:tc>
          <w:tcPr>
            <w:tcW w:w="17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09"/>
        </w:trPr>
        <w:tc>
          <w:tcPr>
            <w:tcW w:w="1720" w:type="dxa"/>
            <w:vAlign w:val="bottom"/>
            <w:shd w:val="clear" w:color="auto" w:fill="CFF0FC"/>
          </w:tcPr>
          <w:p>
            <w:pPr>
              <w:ind w:left="140"/>
              <w:spacing w:after="0" w:line="109" w:lineRule="exact"/>
              <w:rPr>
                <w:sz w:val="20"/>
                <w:szCs w:val="20"/>
                <w:color w:val="auto"/>
              </w:rPr>
            </w:pPr>
            <w:r>
              <w:rPr>
                <w:rFonts w:ascii="Times New Roman" w:cs="Times New Roman" w:eastAsia="Times New Roman" w:hAnsi="Times New Roman"/>
                <w:sz w:val="11"/>
                <w:szCs w:val="11"/>
                <w:b w:val="1"/>
                <w:bCs w:val="1"/>
                <w:color w:val="auto"/>
              </w:rPr>
              <w:t>Pharmacy Solutions</w:t>
            </w:r>
          </w:p>
        </w:tc>
        <w:tc>
          <w:tcPr>
            <w:tcW w:w="1000" w:type="dxa"/>
            <w:vAlign w:val="bottom"/>
            <w:tcBorders>
              <w:right w:val="single" w:sz="8" w:color="CFF0FC"/>
            </w:tcBorders>
            <w:gridSpan w:val="3"/>
            <w:shd w:val="clear" w:color="auto" w:fill="CFF0FC"/>
          </w:tcPr>
          <w:p>
            <w:pPr>
              <w:jc w:val="right"/>
              <w:ind w:right="180"/>
              <w:spacing w:after="0" w:line="109" w:lineRule="exact"/>
              <w:rPr>
                <w:sz w:val="20"/>
                <w:szCs w:val="20"/>
                <w:color w:val="auto"/>
              </w:rPr>
            </w:pPr>
            <w:r>
              <w:rPr>
                <w:rFonts w:ascii="Times New Roman" w:cs="Times New Roman" w:eastAsia="Times New Roman" w:hAnsi="Times New Roman"/>
                <w:sz w:val="11"/>
                <w:szCs w:val="11"/>
                <w:b w:val="1"/>
                <w:bCs w:val="1"/>
                <w:color w:val="auto"/>
              </w:rPr>
              <w:t>24.5%</w:t>
            </w:r>
          </w:p>
        </w:tc>
        <w:tc>
          <w:tcPr>
            <w:tcW w:w="760" w:type="dxa"/>
            <w:vAlign w:val="bottom"/>
            <w:tcBorders>
              <w:right w:val="single" w:sz="8" w:color="CFF0FC"/>
            </w:tcBorders>
            <w:gridSpan w:val="3"/>
            <w:shd w:val="clear" w:color="auto" w:fill="CFF0FC"/>
          </w:tcPr>
          <w:p>
            <w:pPr>
              <w:jc w:val="right"/>
              <w:ind w:right="160"/>
              <w:spacing w:after="0" w:line="109" w:lineRule="exact"/>
              <w:rPr>
                <w:sz w:val="20"/>
                <w:szCs w:val="20"/>
                <w:color w:val="auto"/>
              </w:rPr>
            </w:pPr>
            <w:r>
              <w:rPr>
                <w:rFonts w:ascii="Times New Roman" w:cs="Times New Roman" w:eastAsia="Times New Roman" w:hAnsi="Times New Roman"/>
                <w:sz w:val="11"/>
                <w:szCs w:val="11"/>
                <w:b w:val="1"/>
                <w:bCs w:val="1"/>
                <w:color w:val="auto"/>
              </w:rPr>
              <w:t>8.6%</w:t>
            </w:r>
          </w:p>
        </w:tc>
        <w:tc>
          <w:tcPr>
            <w:tcW w:w="720" w:type="dxa"/>
            <w:vAlign w:val="bottom"/>
            <w:tcBorders>
              <w:right w:val="single" w:sz="8" w:color="CFF0FC"/>
            </w:tcBorders>
            <w:gridSpan w:val="2"/>
            <w:shd w:val="clear" w:color="auto" w:fill="CFF0FC"/>
          </w:tcPr>
          <w:p>
            <w:pPr>
              <w:jc w:val="right"/>
              <w:ind w:right="140"/>
              <w:spacing w:after="0" w:line="109" w:lineRule="exact"/>
              <w:rPr>
                <w:sz w:val="20"/>
                <w:szCs w:val="20"/>
                <w:color w:val="auto"/>
              </w:rPr>
            </w:pPr>
            <w:r>
              <w:rPr>
                <w:rFonts w:ascii="Times New Roman" w:cs="Times New Roman" w:eastAsia="Times New Roman" w:hAnsi="Times New Roman"/>
                <w:sz w:val="11"/>
                <w:szCs w:val="11"/>
                <w:b w:val="1"/>
                <w:bCs w:val="1"/>
                <w:color w:val="auto"/>
              </w:rPr>
              <w:t>4.3%</w:t>
            </w:r>
          </w:p>
        </w:tc>
        <w:tc>
          <w:tcPr>
            <w:tcW w:w="720" w:type="dxa"/>
            <w:vAlign w:val="bottom"/>
            <w:tcBorders>
              <w:right w:val="single" w:sz="8" w:color="CFF0FC"/>
            </w:tcBorders>
            <w:gridSpan w:val="2"/>
            <w:shd w:val="clear" w:color="auto" w:fill="CFF0FC"/>
          </w:tcPr>
          <w:p>
            <w:pPr>
              <w:jc w:val="right"/>
              <w:ind w:right="120"/>
              <w:spacing w:after="0" w:line="109" w:lineRule="exact"/>
              <w:rPr>
                <w:sz w:val="20"/>
                <w:szCs w:val="20"/>
                <w:color w:val="auto"/>
              </w:rPr>
            </w:pPr>
            <w:r>
              <w:rPr>
                <w:rFonts w:ascii="Times New Roman" w:cs="Times New Roman" w:eastAsia="Times New Roman" w:hAnsi="Times New Roman"/>
                <w:sz w:val="11"/>
                <w:szCs w:val="11"/>
                <w:b w:val="1"/>
                <w:bCs w:val="1"/>
                <w:color w:val="auto"/>
              </w:rPr>
              <w:t>0.6%</w:t>
            </w:r>
          </w:p>
        </w:tc>
        <w:tc>
          <w:tcPr>
            <w:tcW w:w="720" w:type="dxa"/>
            <w:vAlign w:val="bottom"/>
            <w:tcBorders>
              <w:right w:val="single" w:sz="8" w:color="CFF0FC"/>
            </w:tcBorders>
            <w:gridSpan w:val="2"/>
            <w:shd w:val="clear" w:color="auto" w:fill="CFF0FC"/>
          </w:tcPr>
          <w:p>
            <w:pPr>
              <w:jc w:val="right"/>
              <w:ind w:right="120"/>
              <w:spacing w:after="0" w:line="109" w:lineRule="exact"/>
              <w:rPr>
                <w:sz w:val="20"/>
                <w:szCs w:val="20"/>
                <w:color w:val="auto"/>
              </w:rPr>
            </w:pPr>
            <w:r>
              <w:rPr>
                <w:rFonts w:ascii="Times New Roman" w:cs="Times New Roman" w:eastAsia="Times New Roman" w:hAnsi="Times New Roman"/>
                <w:sz w:val="11"/>
                <w:szCs w:val="11"/>
                <w:b w:val="1"/>
                <w:bCs w:val="1"/>
                <w:color w:val="auto"/>
              </w:rPr>
              <w:t>17.8%</w:t>
            </w:r>
          </w:p>
        </w:tc>
        <w:tc>
          <w:tcPr>
            <w:tcW w:w="740" w:type="dxa"/>
            <w:vAlign w:val="bottom"/>
            <w:tcBorders>
              <w:right w:val="single" w:sz="8" w:color="CFF0FC"/>
            </w:tcBorders>
            <w:gridSpan w:val="2"/>
            <w:shd w:val="clear" w:color="auto" w:fill="CFF0FC"/>
          </w:tcPr>
          <w:p>
            <w:pPr>
              <w:jc w:val="right"/>
              <w:ind w:right="120"/>
              <w:spacing w:after="0" w:line="109" w:lineRule="exact"/>
              <w:rPr>
                <w:sz w:val="20"/>
                <w:szCs w:val="20"/>
                <w:color w:val="auto"/>
              </w:rPr>
            </w:pPr>
            <w:r>
              <w:rPr>
                <w:rFonts w:ascii="Times New Roman" w:cs="Times New Roman" w:eastAsia="Times New Roman" w:hAnsi="Times New Roman"/>
                <w:sz w:val="11"/>
                <w:szCs w:val="11"/>
                <w:b w:val="1"/>
                <w:bCs w:val="1"/>
                <w:color w:val="auto"/>
              </w:rPr>
              <w:t>31.7%</w:t>
            </w:r>
          </w:p>
        </w:tc>
        <w:tc>
          <w:tcPr>
            <w:tcW w:w="720" w:type="dxa"/>
            <w:vAlign w:val="bottom"/>
            <w:tcBorders>
              <w:right w:val="single" w:sz="8" w:color="CFF0FC"/>
            </w:tcBorders>
            <w:gridSpan w:val="2"/>
            <w:shd w:val="clear" w:color="auto" w:fill="CFF0FC"/>
          </w:tcPr>
          <w:p>
            <w:pPr>
              <w:jc w:val="right"/>
              <w:ind w:right="120"/>
              <w:spacing w:after="0" w:line="109" w:lineRule="exact"/>
              <w:rPr>
                <w:sz w:val="20"/>
                <w:szCs w:val="20"/>
                <w:color w:val="auto"/>
              </w:rPr>
            </w:pPr>
            <w:r>
              <w:rPr>
                <w:rFonts w:ascii="Times New Roman" w:cs="Times New Roman" w:eastAsia="Times New Roman" w:hAnsi="Times New Roman"/>
                <w:sz w:val="11"/>
                <w:szCs w:val="11"/>
                <w:b w:val="1"/>
                <w:bCs w:val="1"/>
                <w:color w:val="auto"/>
              </w:rPr>
              <w:t>1.5%</w:t>
            </w:r>
          </w:p>
        </w:tc>
        <w:tc>
          <w:tcPr>
            <w:tcW w:w="640" w:type="dxa"/>
            <w:vAlign w:val="bottom"/>
            <w:gridSpan w:val="2"/>
            <w:shd w:val="clear" w:color="auto" w:fill="CFF0FC"/>
          </w:tcPr>
          <w:p>
            <w:pPr>
              <w:jc w:val="right"/>
              <w:ind w:right="20"/>
              <w:spacing w:after="0" w:line="109" w:lineRule="exact"/>
              <w:rPr>
                <w:sz w:val="20"/>
                <w:szCs w:val="20"/>
                <w:color w:val="auto"/>
              </w:rPr>
            </w:pPr>
            <w:r>
              <w:rPr>
                <w:rFonts w:ascii="Times New Roman" w:cs="Times New Roman" w:eastAsia="Times New Roman" w:hAnsi="Times New Roman"/>
                <w:sz w:val="11"/>
                <w:szCs w:val="11"/>
                <w:b w:val="1"/>
                <w:bCs w:val="1"/>
                <w:color w:val="auto"/>
              </w:rPr>
              <w:t>89.0%</w:t>
            </w:r>
          </w:p>
        </w:tc>
      </w:tr>
      <w:tr>
        <w:trPr>
          <w:trHeight w:val="118"/>
        </w:trPr>
        <w:tc>
          <w:tcPr>
            <w:tcW w:w="172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Home Health Care</w:t>
            </w:r>
          </w:p>
        </w:tc>
        <w:tc>
          <w:tcPr>
            <w:tcW w:w="1000" w:type="dxa"/>
            <w:vAlign w:val="bottom"/>
            <w:gridSpan w:val="3"/>
          </w:tcPr>
          <w:p>
            <w:pPr>
              <w:jc w:val="right"/>
              <w:ind w:right="200"/>
              <w:spacing w:after="0" w:line="119" w:lineRule="exact"/>
              <w:rPr>
                <w:sz w:val="20"/>
                <w:szCs w:val="20"/>
                <w:color w:val="auto"/>
              </w:rPr>
            </w:pPr>
            <w:r>
              <w:rPr>
                <w:rFonts w:ascii="Times New Roman" w:cs="Times New Roman" w:eastAsia="Times New Roman" w:hAnsi="Times New Roman"/>
                <w:sz w:val="11"/>
                <w:szCs w:val="11"/>
                <w:color w:val="auto"/>
              </w:rPr>
              <w:t>0.3%</w:t>
            </w:r>
          </w:p>
        </w:tc>
        <w:tc>
          <w:tcPr>
            <w:tcW w:w="760" w:type="dxa"/>
            <w:vAlign w:val="bottom"/>
            <w:gridSpan w:val="3"/>
          </w:tcPr>
          <w:p>
            <w:pPr>
              <w:jc w:val="right"/>
              <w:ind w:right="180"/>
              <w:spacing w:after="0" w:line="119" w:lineRule="exact"/>
              <w:rPr>
                <w:sz w:val="20"/>
                <w:szCs w:val="20"/>
                <w:color w:val="auto"/>
              </w:rPr>
            </w:pPr>
            <w:r>
              <w:rPr>
                <w:rFonts w:ascii="Times New Roman" w:cs="Times New Roman" w:eastAsia="Times New Roman" w:hAnsi="Times New Roman"/>
                <w:sz w:val="11"/>
                <w:szCs w:val="11"/>
                <w:color w:val="auto"/>
              </w:rPr>
              <w:t>0.3%</w:t>
            </w:r>
          </w:p>
        </w:tc>
        <w:tc>
          <w:tcPr>
            <w:tcW w:w="720" w:type="dxa"/>
            <w:vAlign w:val="bottom"/>
            <w:gridSpan w:val="2"/>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3.8%</w:t>
            </w:r>
          </w:p>
        </w:tc>
        <w:tc>
          <w:tcPr>
            <w:tcW w:w="720" w:type="dxa"/>
            <w:vAlign w:val="bottom"/>
            <w:gridSpan w:val="2"/>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0.0%</w:t>
            </w:r>
          </w:p>
        </w:tc>
        <w:tc>
          <w:tcPr>
            <w:tcW w:w="720" w:type="dxa"/>
            <w:vAlign w:val="bottom"/>
            <w:gridSpan w:val="2"/>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0.9%</w:t>
            </w:r>
          </w:p>
        </w:tc>
        <w:tc>
          <w:tcPr>
            <w:tcW w:w="740" w:type="dxa"/>
            <w:vAlign w:val="bottom"/>
            <w:gridSpan w:val="2"/>
          </w:tcPr>
          <w:p>
            <w:pPr>
              <w:jc w:val="right"/>
              <w:ind w:right="240"/>
              <w:spacing w:after="0" w:line="119"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0.3%</w:t>
            </w:r>
          </w:p>
        </w:tc>
        <w:tc>
          <w:tcPr>
            <w:tcW w:w="640" w:type="dxa"/>
            <w:vAlign w:val="bottom"/>
            <w:gridSpan w:val="2"/>
          </w:tcPr>
          <w:p>
            <w:pPr>
              <w:jc w:val="right"/>
              <w:ind w:right="40"/>
              <w:spacing w:after="0" w:line="119" w:lineRule="exact"/>
              <w:rPr>
                <w:sz w:val="20"/>
                <w:szCs w:val="20"/>
                <w:color w:val="auto"/>
              </w:rPr>
            </w:pPr>
            <w:r>
              <w:rPr>
                <w:rFonts w:ascii="Times New Roman" w:cs="Times New Roman" w:eastAsia="Times New Roman" w:hAnsi="Times New Roman"/>
                <w:sz w:val="11"/>
                <w:szCs w:val="11"/>
                <w:color w:val="auto"/>
              </w:rPr>
              <w:t>5.6%</w:t>
            </w:r>
          </w:p>
        </w:tc>
      </w:tr>
      <w:tr>
        <w:trPr>
          <w:trHeight w:val="118"/>
        </w:trPr>
        <w:tc>
          <w:tcPr>
            <w:tcW w:w="1720" w:type="dxa"/>
            <w:vAlign w:val="bottom"/>
            <w:shd w:val="clear" w:color="auto" w:fill="CFF0FC"/>
          </w:tcPr>
          <w:p>
            <w:pPr>
              <w:spacing w:after="0" w:line="119" w:lineRule="exact"/>
              <w:rPr>
                <w:sz w:val="20"/>
                <w:szCs w:val="20"/>
                <w:color w:val="auto"/>
              </w:rPr>
            </w:pPr>
            <w:r>
              <w:rPr>
                <w:rFonts w:ascii="Times New Roman" w:cs="Times New Roman" w:eastAsia="Times New Roman" w:hAnsi="Times New Roman"/>
                <w:sz w:val="11"/>
                <w:szCs w:val="11"/>
                <w:color w:val="auto"/>
              </w:rPr>
              <w:t>Rehab Care</w:t>
            </w:r>
          </w:p>
        </w:tc>
        <w:tc>
          <w:tcPr>
            <w:tcW w:w="1000" w:type="dxa"/>
            <w:vAlign w:val="bottom"/>
            <w:tcBorders>
              <w:right w:val="single" w:sz="8" w:color="CFF0FC"/>
            </w:tcBorders>
            <w:gridSpan w:val="3"/>
            <w:shd w:val="clear" w:color="auto" w:fill="CFF0FC"/>
          </w:tcPr>
          <w:p>
            <w:pPr>
              <w:jc w:val="right"/>
              <w:ind w:right="200"/>
              <w:spacing w:after="0" w:line="119" w:lineRule="exact"/>
              <w:rPr>
                <w:sz w:val="20"/>
                <w:szCs w:val="20"/>
                <w:color w:val="auto"/>
              </w:rPr>
            </w:pPr>
            <w:r>
              <w:rPr>
                <w:rFonts w:ascii="Times New Roman" w:cs="Times New Roman" w:eastAsia="Times New Roman" w:hAnsi="Times New Roman"/>
                <w:sz w:val="11"/>
                <w:szCs w:val="11"/>
                <w:color w:val="auto"/>
              </w:rPr>
              <w:t>1.1%</w:t>
            </w:r>
          </w:p>
        </w:tc>
        <w:tc>
          <w:tcPr>
            <w:tcW w:w="760" w:type="dxa"/>
            <w:vAlign w:val="bottom"/>
            <w:tcBorders>
              <w:right w:val="single" w:sz="8" w:color="CFF0FC"/>
            </w:tcBorders>
            <w:gridSpan w:val="3"/>
            <w:shd w:val="clear" w:color="auto" w:fill="CFF0FC"/>
          </w:tcPr>
          <w:p>
            <w:pPr>
              <w:jc w:val="right"/>
              <w:ind w:right="180"/>
              <w:spacing w:after="0" w:line="119" w:lineRule="exact"/>
              <w:rPr>
                <w:sz w:val="20"/>
                <w:szCs w:val="20"/>
                <w:color w:val="auto"/>
              </w:rPr>
            </w:pPr>
            <w:r>
              <w:rPr>
                <w:rFonts w:ascii="Times New Roman" w:cs="Times New Roman" w:eastAsia="Times New Roman" w:hAnsi="Times New Roman"/>
                <w:sz w:val="11"/>
                <w:szCs w:val="11"/>
                <w:color w:val="auto"/>
              </w:rPr>
              <w:t>1.0%</w:t>
            </w:r>
          </w:p>
        </w:tc>
        <w:tc>
          <w:tcPr>
            <w:tcW w:w="720" w:type="dxa"/>
            <w:vAlign w:val="bottom"/>
            <w:tcBorders>
              <w:right w:val="single" w:sz="8" w:color="CFF0FC"/>
            </w:tcBorders>
            <w:gridSpan w:val="2"/>
            <w:shd w:val="clear" w:color="auto" w:fill="CFF0FC"/>
          </w:tcPr>
          <w:p>
            <w:pPr>
              <w:jc w:val="right"/>
              <w:ind w:right="240"/>
              <w:spacing w:after="0" w:line="119"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right w:val="single" w:sz="8" w:color="CFF0FC"/>
            </w:tcBorders>
            <w:gridSpan w:val="2"/>
            <w:shd w:val="clear" w:color="auto" w:fill="CFF0FC"/>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0.1%</w:t>
            </w:r>
          </w:p>
        </w:tc>
        <w:tc>
          <w:tcPr>
            <w:tcW w:w="720" w:type="dxa"/>
            <w:vAlign w:val="bottom"/>
            <w:tcBorders>
              <w:right w:val="single" w:sz="8" w:color="CFF0FC"/>
            </w:tcBorders>
            <w:gridSpan w:val="2"/>
            <w:shd w:val="clear" w:color="auto" w:fill="CFF0FC"/>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0.0%</w:t>
            </w:r>
          </w:p>
        </w:tc>
        <w:tc>
          <w:tcPr>
            <w:tcW w:w="740" w:type="dxa"/>
            <w:vAlign w:val="bottom"/>
            <w:tcBorders>
              <w:right w:val="single" w:sz="8" w:color="CFF0FC"/>
            </w:tcBorders>
            <w:gridSpan w:val="2"/>
            <w:shd w:val="clear" w:color="auto" w:fill="CFF0FC"/>
          </w:tcPr>
          <w:p>
            <w:pPr>
              <w:jc w:val="right"/>
              <w:ind w:right="240"/>
              <w:spacing w:after="0" w:line="119"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right w:val="single" w:sz="8" w:color="CFF0FC"/>
            </w:tcBorders>
            <w:gridSpan w:val="2"/>
            <w:shd w:val="clear" w:color="auto" w:fill="CFF0FC"/>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0.1%</w:t>
            </w:r>
          </w:p>
        </w:tc>
        <w:tc>
          <w:tcPr>
            <w:tcW w:w="640" w:type="dxa"/>
            <w:vAlign w:val="bottom"/>
            <w:gridSpan w:val="2"/>
            <w:shd w:val="clear" w:color="auto" w:fill="CFF0FC"/>
          </w:tcPr>
          <w:p>
            <w:pPr>
              <w:jc w:val="right"/>
              <w:ind w:right="40"/>
              <w:spacing w:after="0" w:line="119" w:lineRule="exact"/>
              <w:rPr>
                <w:sz w:val="20"/>
                <w:szCs w:val="20"/>
                <w:color w:val="auto"/>
              </w:rPr>
            </w:pPr>
            <w:r>
              <w:rPr>
                <w:rFonts w:ascii="Times New Roman" w:cs="Times New Roman" w:eastAsia="Times New Roman" w:hAnsi="Times New Roman"/>
                <w:sz w:val="11"/>
                <w:szCs w:val="11"/>
                <w:color w:val="auto"/>
              </w:rPr>
              <w:t>2.3%</w:t>
            </w:r>
          </w:p>
        </w:tc>
      </w:tr>
      <w:tr>
        <w:trPr>
          <w:trHeight w:val="118"/>
        </w:trPr>
        <w:tc>
          <w:tcPr>
            <w:tcW w:w="172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Personal Care</w:t>
            </w:r>
          </w:p>
        </w:tc>
        <w:tc>
          <w:tcPr>
            <w:tcW w:w="1000" w:type="dxa"/>
            <w:vAlign w:val="bottom"/>
            <w:gridSpan w:val="3"/>
          </w:tcPr>
          <w:p>
            <w:pPr>
              <w:jc w:val="right"/>
              <w:ind w:right="200"/>
              <w:spacing w:after="0" w:line="119" w:lineRule="exact"/>
              <w:rPr>
                <w:sz w:val="20"/>
                <w:szCs w:val="20"/>
                <w:color w:val="auto"/>
              </w:rPr>
            </w:pPr>
            <w:r>
              <w:rPr>
                <w:rFonts w:ascii="Times New Roman" w:cs="Times New Roman" w:eastAsia="Times New Roman" w:hAnsi="Times New Roman"/>
                <w:sz w:val="11"/>
                <w:szCs w:val="11"/>
                <w:color w:val="auto"/>
              </w:rPr>
              <w:t>0.1%</w:t>
            </w:r>
          </w:p>
        </w:tc>
        <w:tc>
          <w:tcPr>
            <w:tcW w:w="760" w:type="dxa"/>
            <w:vAlign w:val="bottom"/>
            <w:gridSpan w:val="3"/>
          </w:tcPr>
          <w:p>
            <w:pPr>
              <w:jc w:val="right"/>
              <w:ind w:right="180"/>
              <w:spacing w:after="0" w:line="119" w:lineRule="exact"/>
              <w:rPr>
                <w:sz w:val="20"/>
                <w:szCs w:val="20"/>
                <w:color w:val="auto"/>
              </w:rPr>
            </w:pPr>
            <w:r>
              <w:rPr>
                <w:rFonts w:ascii="Times New Roman" w:cs="Times New Roman" w:eastAsia="Times New Roman" w:hAnsi="Times New Roman"/>
                <w:sz w:val="11"/>
                <w:szCs w:val="11"/>
                <w:color w:val="auto"/>
              </w:rPr>
              <w:t>2.5%</w:t>
            </w:r>
          </w:p>
        </w:tc>
        <w:tc>
          <w:tcPr>
            <w:tcW w:w="720" w:type="dxa"/>
            <w:vAlign w:val="bottom"/>
            <w:gridSpan w:val="2"/>
          </w:tcPr>
          <w:p>
            <w:pPr>
              <w:jc w:val="right"/>
              <w:ind w:right="240"/>
              <w:spacing w:after="0" w:line="119"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240"/>
              <w:spacing w:after="0" w:line="119"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220"/>
              <w:spacing w:after="0" w:line="119"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240"/>
              <w:spacing w:after="0" w:line="119"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0.5%</w:t>
            </w:r>
          </w:p>
        </w:tc>
        <w:tc>
          <w:tcPr>
            <w:tcW w:w="640" w:type="dxa"/>
            <w:vAlign w:val="bottom"/>
            <w:gridSpan w:val="2"/>
          </w:tcPr>
          <w:p>
            <w:pPr>
              <w:jc w:val="right"/>
              <w:ind w:right="40"/>
              <w:spacing w:after="0" w:line="119" w:lineRule="exact"/>
              <w:rPr>
                <w:sz w:val="20"/>
                <w:szCs w:val="20"/>
                <w:color w:val="auto"/>
              </w:rPr>
            </w:pPr>
            <w:r>
              <w:rPr>
                <w:rFonts w:ascii="Times New Roman" w:cs="Times New Roman" w:eastAsia="Times New Roman" w:hAnsi="Times New Roman"/>
                <w:sz w:val="11"/>
                <w:szCs w:val="11"/>
                <w:color w:val="auto"/>
              </w:rPr>
              <w:t>3.1%</w:t>
            </w:r>
          </w:p>
        </w:tc>
      </w:tr>
      <w:tr>
        <w:trPr>
          <w:trHeight w:val="20"/>
        </w:trPr>
        <w:tc>
          <w:tcPr>
            <w:tcW w:w="17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09"/>
        </w:trPr>
        <w:tc>
          <w:tcPr>
            <w:tcW w:w="1720" w:type="dxa"/>
            <w:vAlign w:val="bottom"/>
            <w:shd w:val="clear" w:color="auto" w:fill="CFF0FC"/>
          </w:tcPr>
          <w:p>
            <w:pPr>
              <w:ind w:left="140"/>
              <w:spacing w:after="0" w:line="109" w:lineRule="exact"/>
              <w:rPr>
                <w:sz w:val="20"/>
                <w:szCs w:val="20"/>
                <w:color w:val="auto"/>
              </w:rPr>
            </w:pPr>
            <w:r>
              <w:rPr>
                <w:rFonts w:ascii="Times New Roman" w:cs="Times New Roman" w:eastAsia="Times New Roman" w:hAnsi="Times New Roman"/>
                <w:sz w:val="11"/>
                <w:szCs w:val="11"/>
                <w:b w:val="1"/>
                <w:bCs w:val="1"/>
                <w:color w:val="auto"/>
              </w:rPr>
              <w:t>Provider Services</w:t>
            </w:r>
          </w:p>
        </w:tc>
        <w:tc>
          <w:tcPr>
            <w:tcW w:w="1000" w:type="dxa"/>
            <w:vAlign w:val="bottom"/>
            <w:tcBorders>
              <w:right w:val="single" w:sz="8" w:color="CFF0FC"/>
            </w:tcBorders>
            <w:gridSpan w:val="3"/>
            <w:shd w:val="clear" w:color="auto" w:fill="CFF0FC"/>
          </w:tcPr>
          <w:p>
            <w:pPr>
              <w:jc w:val="right"/>
              <w:ind w:right="180"/>
              <w:spacing w:after="0" w:line="109" w:lineRule="exact"/>
              <w:rPr>
                <w:sz w:val="20"/>
                <w:szCs w:val="20"/>
                <w:color w:val="auto"/>
              </w:rPr>
            </w:pPr>
            <w:r>
              <w:rPr>
                <w:rFonts w:ascii="Times New Roman" w:cs="Times New Roman" w:eastAsia="Times New Roman" w:hAnsi="Times New Roman"/>
                <w:sz w:val="11"/>
                <w:szCs w:val="11"/>
                <w:b w:val="1"/>
                <w:bCs w:val="1"/>
                <w:color w:val="auto"/>
              </w:rPr>
              <w:t>1.5%</w:t>
            </w:r>
          </w:p>
        </w:tc>
        <w:tc>
          <w:tcPr>
            <w:tcW w:w="760" w:type="dxa"/>
            <w:vAlign w:val="bottom"/>
            <w:tcBorders>
              <w:right w:val="single" w:sz="8" w:color="CFF0FC"/>
            </w:tcBorders>
            <w:gridSpan w:val="3"/>
            <w:shd w:val="clear" w:color="auto" w:fill="CFF0FC"/>
          </w:tcPr>
          <w:p>
            <w:pPr>
              <w:jc w:val="right"/>
              <w:ind w:right="160"/>
              <w:spacing w:after="0" w:line="109" w:lineRule="exact"/>
              <w:rPr>
                <w:sz w:val="20"/>
                <w:szCs w:val="20"/>
                <w:color w:val="auto"/>
              </w:rPr>
            </w:pPr>
            <w:r>
              <w:rPr>
                <w:rFonts w:ascii="Times New Roman" w:cs="Times New Roman" w:eastAsia="Times New Roman" w:hAnsi="Times New Roman"/>
                <w:sz w:val="11"/>
                <w:szCs w:val="11"/>
                <w:b w:val="1"/>
                <w:bCs w:val="1"/>
                <w:color w:val="auto"/>
              </w:rPr>
              <w:t>3.8%</w:t>
            </w:r>
          </w:p>
        </w:tc>
        <w:tc>
          <w:tcPr>
            <w:tcW w:w="720" w:type="dxa"/>
            <w:vAlign w:val="bottom"/>
            <w:tcBorders>
              <w:right w:val="single" w:sz="8" w:color="CFF0FC"/>
            </w:tcBorders>
            <w:gridSpan w:val="2"/>
            <w:shd w:val="clear" w:color="auto" w:fill="CFF0FC"/>
          </w:tcPr>
          <w:p>
            <w:pPr>
              <w:jc w:val="right"/>
              <w:ind w:right="140"/>
              <w:spacing w:after="0" w:line="109" w:lineRule="exact"/>
              <w:rPr>
                <w:sz w:val="20"/>
                <w:szCs w:val="20"/>
                <w:color w:val="auto"/>
              </w:rPr>
            </w:pPr>
            <w:r>
              <w:rPr>
                <w:rFonts w:ascii="Times New Roman" w:cs="Times New Roman" w:eastAsia="Times New Roman" w:hAnsi="Times New Roman"/>
                <w:sz w:val="11"/>
                <w:szCs w:val="11"/>
                <w:b w:val="1"/>
                <w:bCs w:val="1"/>
                <w:color w:val="auto"/>
              </w:rPr>
              <w:t>3.8%</w:t>
            </w:r>
          </w:p>
        </w:tc>
        <w:tc>
          <w:tcPr>
            <w:tcW w:w="720" w:type="dxa"/>
            <w:vAlign w:val="bottom"/>
            <w:tcBorders>
              <w:right w:val="single" w:sz="8" w:color="CFF0FC"/>
            </w:tcBorders>
            <w:gridSpan w:val="2"/>
            <w:shd w:val="clear" w:color="auto" w:fill="CFF0FC"/>
          </w:tcPr>
          <w:p>
            <w:pPr>
              <w:jc w:val="right"/>
              <w:ind w:right="120"/>
              <w:spacing w:after="0" w:line="109" w:lineRule="exact"/>
              <w:rPr>
                <w:sz w:val="20"/>
                <w:szCs w:val="20"/>
                <w:color w:val="auto"/>
              </w:rPr>
            </w:pPr>
            <w:r>
              <w:rPr>
                <w:rFonts w:ascii="Times New Roman" w:cs="Times New Roman" w:eastAsia="Times New Roman" w:hAnsi="Times New Roman"/>
                <w:sz w:val="11"/>
                <w:szCs w:val="11"/>
                <w:b w:val="1"/>
                <w:bCs w:val="1"/>
                <w:color w:val="auto"/>
              </w:rPr>
              <w:t>0.1%</w:t>
            </w:r>
          </w:p>
        </w:tc>
        <w:tc>
          <w:tcPr>
            <w:tcW w:w="720" w:type="dxa"/>
            <w:vAlign w:val="bottom"/>
            <w:tcBorders>
              <w:right w:val="single" w:sz="8" w:color="CFF0FC"/>
            </w:tcBorders>
            <w:gridSpan w:val="2"/>
            <w:shd w:val="clear" w:color="auto" w:fill="CFF0FC"/>
          </w:tcPr>
          <w:p>
            <w:pPr>
              <w:jc w:val="right"/>
              <w:ind w:right="120"/>
              <w:spacing w:after="0" w:line="109" w:lineRule="exact"/>
              <w:rPr>
                <w:sz w:val="20"/>
                <w:szCs w:val="20"/>
                <w:color w:val="auto"/>
              </w:rPr>
            </w:pPr>
            <w:r>
              <w:rPr>
                <w:rFonts w:ascii="Times New Roman" w:cs="Times New Roman" w:eastAsia="Times New Roman" w:hAnsi="Times New Roman"/>
                <w:sz w:val="11"/>
                <w:szCs w:val="11"/>
                <w:b w:val="1"/>
                <w:bCs w:val="1"/>
                <w:color w:val="auto"/>
              </w:rPr>
              <w:t>0.9%</w:t>
            </w:r>
          </w:p>
        </w:tc>
        <w:tc>
          <w:tcPr>
            <w:tcW w:w="740" w:type="dxa"/>
            <w:vAlign w:val="bottom"/>
            <w:tcBorders>
              <w:right w:val="single" w:sz="8" w:color="CFF0FC"/>
            </w:tcBorders>
            <w:gridSpan w:val="2"/>
            <w:shd w:val="clear" w:color="auto" w:fill="CFF0FC"/>
          </w:tcPr>
          <w:p>
            <w:pPr>
              <w:jc w:val="right"/>
              <w:ind w:right="240"/>
              <w:spacing w:after="0" w:line="109"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right w:val="single" w:sz="8" w:color="CFF0FC"/>
            </w:tcBorders>
            <w:gridSpan w:val="2"/>
            <w:shd w:val="clear" w:color="auto" w:fill="CFF0FC"/>
          </w:tcPr>
          <w:p>
            <w:pPr>
              <w:jc w:val="right"/>
              <w:ind w:right="120"/>
              <w:spacing w:after="0" w:line="109" w:lineRule="exact"/>
              <w:rPr>
                <w:sz w:val="20"/>
                <w:szCs w:val="20"/>
                <w:color w:val="auto"/>
              </w:rPr>
            </w:pPr>
            <w:r>
              <w:rPr>
                <w:rFonts w:ascii="Times New Roman" w:cs="Times New Roman" w:eastAsia="Times New Roman" w:hAnsi="Times New Roman"/>
                <w:sz w:val="11"/>
                <w:szCs w:val="11"/>
                <w:b w:val="1"/>
                <w:bCs w:val="1"/>
                <w:color w:val="auto"/>
              </w:rPr>
              <w:t>0.9%</w:t>
            </w:r>
          </w:p>
        </w:tc>
        <w:tc>
          <w:tcPr>
            <w:tcW w:w="640" w:type="dxa"/>
            <w:vAlign w:val="bottom"/>
            <w:gridSpan w:val="2"/>
            <w:shd w:val="clear" w:color="auto" w:fill="CFF0FC"/>
          </w:tcPr>
          <w:p>
            <w:pPr>
              <w:jc w:val="right"/>
              <w:ind w:right="20"/>
              <w:spacing w:after="0" w:line="109" w:lineRule="exact"/>
              <w:rPr>
                <w:sz w:val="20"/>
                <w:szCs w:val="20"/>
                <w:color w:val="auto"/>
              </w:rPr>
            </w:pPr>
            <w:r>
              <w:rPr>
                <w:rFonts w:ascii="Times New Roman" w:cs="Times New Roman" w:eastAsia="Times New Roman" w:hAnsi="Times New Roman"/>
                <w:sz w:val="11"/>
                <w:szCs w:val="11"/>
                <w:b w:val="1"/>
                <w:bCs w:val="1"/>
                <w:color w:val="auto"/>
              </w:rPr>
              <w:t>11.0%</w:t>
            </w:r>
          </w:p>
        </w:tc>
      </w:tr>
      <w:tr>
        <w:trPr>
          <w:trHeight w:val="20"/>
        </w:trPr>
        <w:tc>
          <w:tcPr>
            <w:tcW w:w="172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tcBorders>
              <w:right w:val="single" w:sz="8" w:color="auto"/>
            </w:tcBorders>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tcBorders>
              <w:right w:val="single" w:sz="8" w:color="auto"/>
            </w:tcBorders>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Borders>
              <w:left w:val="single" w:sz="8" w:color="CFF0FC"/>
              <w:right w:val="single" w:sz="8" w:color="auto"/>
            </w:tcBorders>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Borders>
              <w:left w:val="single" w:sz="8" w:color="CFF0FC"/>
              <w:right w:val="single" w:sz="8" w:color="auto"/>
            </w:tcBorders>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Borders>
              <w:left w:val="single" w:sz="8" w:color="CFF0FC"/>
              <w:right w:val="single" w:sz="8" w:color="auto"/>
            </w:tcBorders>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Borders>
              <w:left w:val="single" w:sz="8" w:color="CFF0FC"/>
              <w:right w:val="single" w:sz="8" w:color="auto"/>
            </w:tcBorders>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Borders>
              <w:left w:val="single" w:sz="8" w:color="CFF0FC"/>
              <w:right w:val="single" w:sz="8" w:color="auto"/>
            </w:tcBorders>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09"/>
        </w:trPr>
        <w:tc>
          <w:tcPr>
            <w:tcW w:w="1720" w:type="dxa"/>
            <w:vAlign w:val="bottom"/>
          </w:tcPr>
          <w:p>
            <w:pPr>
              <w:ind w:left="280"/>
              <w:spacing w:after="0" w:line="109" w:lineRule="exact"/>
              <w:rPr>
                <w:sz w:val="20"/>
                <w:szCs w:val="20"/>
                <w:color w:val="auto"/>
              </w:rPr>
            </w:pPr>
            <w:r>
              <w:rPr>
                <w:rFonts w:ascii="Times New Roman" w:cs="Times New Roman" w:eastAsia="Times New Roman" w:hAnsi="Times New Roman"/>
                <w:sz w:val="11"/>
                <w:szCs w:val="11"/>
                <w:b w:val="1"/>
                <w:bCs w:val="1"/>
                <w:color w:val="auto"/>
              </w:rPr>
              <w:t>Consolidated BrightSpring</w:t>
            </w:r>
          </w:p>
        </w:tc>
        <w:tc>
          <w:tcPr>
            <w:tcW w:w="1000" w:type="dxa"/>
            <w:vAlign w:val="bottom"/>
            <w:gridSpan w:val="3"/>
          </w:tcPr>
          <w:p>
            <w:pPr>
              <w:jc w:val="right"/>
              <w:ind w:right="180"/>
              <w:spacing w:after="0" w:line="109" w:lineRule="exact"/>
              <w:rPr>
                <w:sz w:val="20"/>
                <w:szCs w:val="20"/>
                <w:color w:val="auto"/>
              </w:rPr>
            </w:pPr>
            <w:r>
              <w:rPr>
                <w:rFonts w:ascii="Times New Roman" w:cs="Times New Roman" w:eastAsia="Times New Roman" w:hAnsi="Times New Roman"/>
                <w:sz w:val="11"/>
                <w:szCs w:val="11"/>
                <w:b w:val="1"/>
                <w:bCs w:val="1"/>
                <w:color w:val="auto"/>
              </w:rPr>
              <w:t>26.0%</w:t>
            </w:r>
          </w:p>
        </w:tc>
        <w:tc>
          <w:tcPr>
            <w:tcW w:w="760" w:type="dxa"/>
            <w:vAlign w:val="bottom"/>
            <w:gridSpan w:val="3"/>
          </w:tcPr>
          <w:p>
            <w:pPr>
              <w:jc w:val="right"/>
              <w:ind w:right="160"/>
              <w:spacing w:after="0" w:line="109" w:lineRule="exact"/>
              <w:rPr>
                <w:sz w:val="20"/>
                <w:szCs w:val="20"/>
                <w:color w:val="auto"/>
              </w:rPr>
            </w:pPr>
            <w:r>
              <w:rPr>
                <w:rFonts w:ascii="Times New Roman" w:cs="Times New Roman" w:eastAsia="Times New Roman" w:hAnsi="Times New Roman"/>
                <w:sz w:val="11"/>
                <w:szCs w:val="11"/>
                <w:b w:val="1"/>
                <w:bCs w:val="1"/>
                <w:color w:val="auto"/>
              </w:rPr>
              <w:t>12.4%</w:t>
            </w:r>
          </w:p>
        </w:tc>
        <w:tc>
          <w:tcPr>
            <w:tcW w:w="720" w:type="dxa"/>
            <w:vAlign w:val="bottom"/>
            <w:gridSpan w:val="2"/>
          </w:tcPr>
          <w:p>
            <w:pPr>
              <w:jc w:val="right"/>
              <w:ind w:right="140"/>
              <w:spacing w:after="0" w:line="109" w:lineRule="exact"/>
              <w:rPr>
                <w:sz w:val="20"/>
                <w:szCs w:val="20"/>
                <w:color w:val="auto"/>
              </w:rPr>
            </w:pPr>
            <w:r>
              <w:rPr>
                <w:rFonts w:ascii="Times New Roman" w:cs="Times New Roman" w:eastAsia="Times New Roman" w:hAnsi="Times New Roman"/>
                <w:sz w:val="11"/>
                <w:szCs w:val="11"/>
                <w:b w:val="1"/>
                <w:bCs w:val="1"/>
                <w:color w:val="auto"/>
              </w:rPr>
              <w:t>8.1%</w:t>
            </w:r>
          </w:p>
        </w:tc>
        <w:tc>
          <w:tcPr>
            <w:tcW w:w="720" w:type="dxa"/>
            <w:vAlign w:val="bottom"/>
            <w:gridSpan w:val="2"/>
          </w:tcPr>
          <w:p>
            <w:pPr>
              <w:jc w:val="right"/>
              <w:ind w:right="120"/>
              <w:spacing w:after="0" w:line="109" w:lineRule="exact"/>
              <w:rPr>
                <w:sz w:val="20"/>
                <w:szCs w:val="20"/>
                <w:color w:val="auto"/>
              </w:rPr>
            </w:pPr>
            <w:r>
              <w:rPr>
                <w:rFonts w:ascii="Times New Roman" w:cs="Times New Roman" w:eastAsia="Times New Roman" w:hAnsi="Times New Roman"/>
                <w:sz w:val="11"/>
                <w:szCs w:val="11"/>
                <w:b w:val="1"/>
                <w:bCs w:val="1"/>
                <w:color w:val="auto"/>
              </w:rPr>
              <w:t>0.7%</w:t>
            </w:r>
          </w:p>
        </w:tc>
        <w:tc>
          <w:tcPr>
            <w:tcW w:w="720" w:type="dxa"/>
            <w:vAlign w:val="bottom"/>
            <w:gridSpan w:val="2"/>
          </w:tcPr>
          <w:p>
            <w:pPr>
              <w:jc w:val="right"/>
              <w:ind w:right="120"/>
              <w:spacing w:after="0" w:line="109" w:lineRule="exact"/>
              <w:rPr>
                <w:sz w:val="20"/>
                <w:szCs w:val="20"/>
                <w:color w:val="auto"/>
              </w:rPr>
            </w:pPr>
            <w:r>
              <w:rPr>
                <w:rFonts w:ascii="Times New Roman" w:cs="Times New Roman" w:eastAsia="Times New Roman" w:hAnsi="Times New Roman"/>
                <w:sz w:val="11"/>
                <w:szCs w:val="11"/>
                <w:b w:val="1"/>
                <w:bCs w:val="1"/>
                <w:color w:val="auto"/>
              </w:rPr>
              <w:t>18.7%</w:t>
            </w:r>
          </w:p>
        </w:tc>
        <w:tc>
          <w:tcPr>
            <w:tcW w:w="740" w:type="dxa"/>
            <w:vAlign w:val="bottom"/>
            <w:gridSpan w:val="2"/>
          </w:tcPr>
          <w:p>
            <w:pPr>
              <w:jc w:val="right"/>
              <w:ind w:right="120"/>
              <w:spacing w:after="0" w:line="109" w:lineRule="exact"/>
              <w:rPr>
                <w:sz w:val="20"/>
                <w:szCs w:val="20"/>
                <w:color w:val="auto"/>
              </w:rPr>
            </w:pPr>
            <w:r>
              <w:rPr>
                <w:rFonts w:ascii="Times New Roman" w:cs="Times New Roman" w:eastAsia="Times New Roman" w:hAnsi="Times New Roman"/>
                <w:sz w:val="11"/>
                <w:szCs w:val="11"/>
                <w:b w:val="1"/>
                <w:bCs w:val="1"/>
                <w:color w:val="auto"/>
              </w:rPr>
              <w:t>31.7%</w:t>
            </w:r>
          </w:p>
        </w:tc>
        <w:tc>
          <w:tcPr>
            <w:tcW w:w="720" w:type="dxa"/>
            <w:vAlign w:val="bottom"/>
            <w:gridSpan w:val="2"/>
          </w:tcPr>
          <w:p>
            <w:pPr>
              <w:jc w:val="right"/>
              <w:ind w:right="120"/>
              <w:spacing w:after="0" w:line="109" w:lineRule="exact"/>
              <w:rPr>
                <w:sz w:val="20"/>
                <w:szCs w:val="20"/>
                <w:color w:val="auto"/>
              </w:rPr>
            </w:pPr>
            <w:r>
              <w:rPr>
                <w:rFonts w:ascii="Times New Roman" w:cs="Times New Roman" w:eastAsia="Times New Roman" w:hAnsi="Times New Roman"/>
                <w:sz w:val="11"/>
                <w:szCs w:val="11"/>
                <w:b w:val="1"/>
                <w:bCs w:val="1"/>
                <w:color w:val="auto"/>
              </w:rPr>
              <w:t>2.4%</w:t>
            </w:r>
          </w:p>
        </w:tc>
        <w:tc>
          <w:tcPr>
            <w:tcW w:w="640" w:type="dxa"/>
            <w:vAlign w:val="bottom"/>
            <w:gridSpan w:val="2"/>
          </w:tcPr>
          <w:p>
            <w:pPr>
              <w:jc w:val="right"/>
              <w:ind w:right="20"/>
              <w:spacing w:after="0" w:line="109" w:lineRule="exact"/>
              <w:rPr>
                <w:sz w:val="20"/>
                <w:szCs w:val="20"/>
                <w:color w:val="auto"/>
              </w:rPr>
            </w:pPr>
            <w:r>
              <w:rPr>
                <w:rFonts w:ascii="Times New Roman" w:cs="Times New Roman" w:eastAsia="Times New Roman" w:hAnsi="Times New Roman"/>
                <w:sz w:val="11"/>
                <w:szCs w:val="11"/>
                <w:b w:val="1"/>
                <w:bCs w:val="1"/>
                <w:color w:val="auto"/>
              </w:rPr>
              <w:t>100.0%</w:t>
            </w:r>
          </w:p>
        </w:tc>
      </w:tr>
      <w:tr>
        <w:trPr>
          <w:trHeight w:val="20"/>
        </w:trPr>
        <w:tc>
          <w:tcPr>
            <w:tcW w:w="17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2007870</wp:posOffset>
            </wp:positionH>
            <wp:positionV relativeFrom="paragraph">
              <wp:posOffset>-1144905</wp:posOffset>
            </wp:positionV>
            <wp:extent cx="74930" cy="698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2498725</wp:posOffset>
            </wp:positionH>
            <wp:positionV relativeFrom="paragraph">
              <wp:posOffset>-1144905</wp:posOffset>
            </wp:positionV>
            <wp:extent cx="74930" cy="698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2948940</wp:posOffset>
            </wp:positionH>
            <wp:positionV relativeFrom="paragraph">
              <wp:posOffset>-1144905</wp:posOffset>
            </wp:positionV>
            <wp:extent cx="74930" cy="698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3405505</wp:posOffset>
            </wp:positionH>
            <wp:positionV relativeFrom="paragraph">
              <wp:posOffset>-1144905</wp:posOffset>
            </wp:positionV>
            <wp:extent cx="74930" cy="698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-1144905</wp:posOffset>
            </wp:positionV>
            <wp:extent cx="74930" cy="698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4333240</wp:posOffset>
            </wp:positionH>
            <wp:positionV relativeFrom="paragraph">
              <wp:posOffset>-1144905</wp:posOffset>
            </wp:positionV>
            <wp:extent cx="74930" cy="698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4789805</wp:posOffset>
            </wp:positionH>
            <wp:positionV relativeFrom="paragraph">
              <wp:posOffset>-1144905</wp:posOffset>
            </wp:positionV>
            <wp:extent cx="74930" cy="698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5240020</wp:posOffset>
            </wp:positionH>
            <wp:positionV relativeFrom="paragraph">
              <wp:posOffset>-1144905</wp:posOffset>
            </wp:positionV>
            <wp:extent cx="74930" cy="698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1953260</wp:posOffset>
            </wp:positionH>
            <wp:positionV relativeFrom="paragraph">
              <wp:posOffset>-101600</wp:posOffset>
            </wp:positionV>
            <wp:extent cx="74930" cy="698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2451100</wp:posOffset>
            </wp:positionH>
            <wp:positionV relativeFrom="paragraph">
              <wp:posOffset>-101600</wp:posOffset>
            </wp:positionV>
            <wp:extent cx="74930" cy="698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2921635</wp:posOffset>
            </wp:positionH>
            <wp:positionV relativeFrom="paragraph">
              <wp:posOffset>-101600</wp:posOffset>
            </wp:positionV>
            <wp:extent cx="74930" cy="698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3385185</wp:posOffset>
            </wp:positionH>
            <wp:positionV relativeFrom="paragraph">
              <wp:posOffset>-101600</wp:posOffset>
            </wp:positionV>
            <wp:extent cx="74930" cy="698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3848735</wp:posOffset>
            </wp:positionH>
            <wp:positionV relativeFrom="paragraph">
              <wp:posOffset>-101600</wp:posOffset>
            </wp:positionV>
            <wp:extent cx="74930" cy="698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4312285</wp:posOffset>
            </wp:positionH>
            <wp:positionV relativeFrom="paragraph">
              <wp:posOffset>-101600</wp:posOffset>
            </wp:positionV>
            <wp:extent cx="74930" cy="698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4776470</wp:posOffset>
            </wp:positionH>
            <wp:positionV relativeFrom="paragraph">
              <wp:posOffset>-101600</wp:posOffset>
            </wp:positionV>
            <wp:extent cx="74930" cy="698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5240020</wp:posOffset>
            </wp:positionH>
            <wp:positionV relativeFrom="paragraph">
              <wp:posOffset>-101600</wp:posOffset>
            </wp:positionV>
            <wp:extent cx="74930" cy="698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4930" cy="6985"/>
                    </a:xfrm>
                    <a:prstGeom prst="rect">
                      <a:avLst/>
                    </a:prstGeom>
                    <a:noFill/>
                  </pic:spPr>
                </pic:pic>
              </a:graphicData>
            </a:graphic>
          </wp:anchor>
        </w:drawing>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29" w:name="page30"/>
    <w:bookmarkEnd w:id="29"/>
    <w:tbl>
      <w:tblPr>
        <w:tblLayout w:type="fixed"/>
        <w:tblInd w:w="640" w:type="dxa"/>
        <w:tblCellMar>
          <w:top w:w="0" w:type="dxa"/>
          <w:left w:w="0" w:type="dxa"/>
          <w:bottom w:w="0" w:type="dxa"/>
          <w:right w:w="0" w:type="dxa"/>
        </w:tblCellMar>
      </w:tblPr>
      <w:tr>
        <w:trPr>
          <w:trHeight w:val="131"/>
        </w:trPr>
        <w:tc>
          <w:tcPr>
            <w:tcW w:w="174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920" w:type="dxa"/>
            <w:vAlign w:val="bottom"/>
            <w:tcBorders>
              <w:bottom w:val="single" w:sz="8" w:color="auto"/>
            </w:tcBorders>
            <w:gridSpan w:val="11"/>
          </w:tcPr>
          <w:p>
            <w:pPr>
              <w:ind w:left="120"/>
              <w:spacing w:after="0"/>
              <w:rPr>
                <w:sz w:val="20"/>
                <w:szCs w:val="20"/>
                <w:color w:val="auto"/>
              </w:rPr>
            </w:pPr>
            <w:r>
              <w:rPr>
                <w:rFonts w:ascii="Times New Roman" w:cs="Times New Roman" w:eastAsia="Times New Roman" w:hAnsi="Times New Roman"/>
                <w:sz w:val="11"/>
                <w:szCs w:val="11"/>
                <w:b w:val="1"/>
                <w:bCs w:val="1"/>
                <w:color w:val="auto"/>
              </w:rPr>
              <w:t>For the Nine Months Ended September 30, 2026</w:t>
            </w: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96"/>
        </w:trPr>
        <w:tc>
          <w:tcPr>
            <w:tcW w:w="1740" w:type="dxa"/>
            <w:vAlign w:val="bottom"/>
          </w:tcPr>
          <w:p>
            <w:pPr>
              <w:spacing w:after="0"/>
              <w:rPr>
                <w:sz w:val="8"/>
                <w:szCs w:val="8"/>
                <w:color w:val="auto"/>
              </w:rPr>
            </w:pPr>
          </w:p>
        </w:tc>
        <w:tc>
          <w:tcPr>
            <w:tcW w:w="920" w:type="dxa"/>
            <w:vAlign w:val="bottom"/>
            <w:gridSpan w:val="2"/>
          </w:tcPr>
          <w:p>
            <w:pPr>
              <w:jc w:val="center"/>
              <w:ind w:right="280"/>
              <w:spacing w:after="0" w:line="96" w:lineRule="exact"/>
              <w:rPr>
                <w:sz w:val="20"/>
                <w:szCs w:val="20"/>
                <w:color w:val="auto"/>
              </w:rPr>
            </w:pPr>
            <w:r>
              <w:rPr>
                <w:rFonts w:ascii="Times New Roman" w:cs="Times New Roman" w:eastAsia="Times New Roman" w:hAnsi="Times New Roman"/>
                <w:sz w:val="11"/>
                <w:szCs w:val="11"/>
                <w:b w:val="1"/>
                <w:bCs w:val="1"/>
                <w:color w:val="auto"/>
                <w:w w:val="96"/>
              </w:rPr>
              <w:t>Commercial</w:t>
            </w: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gridSpan w:val="2"/>
          </w:tcPr>
          <w:p>
            <w:pPr>
              <w:jc w:val="right"/>
              <w:ind w:right="280"/>
              <w:spacing w:after="0" w:line="96" w:lineRule="exact"/>
              <w:rPr>
                <w:sz w:val="20"/>
                <w:szCs w:val="20"/>
                <w:color w:val="auto"/>
              </w:rPr>
            </w:pPr>
            <w:r>
              <w:rPr>
                <w:rFonts w:ascii="Times New Roman" w:cs="Times New Roman" w:eastAsia="Times New Roman" w:hAnsi="Times New Roman"/>
                <w:sz w:val="11"/>
                <w:szCs w:val="11"/>
                <w:b w:val="1"/>
                <w:bCs w:val="1"/>
                <w:color w:val="auto"/>
              </w:rPr>
              <w:t>Medicare</w:t>
            </w:r>
          </w:p>
        </w:tc>
        <w:tc>
          <w:tcPr>
            <w:tcW w:w="740" w:type="dxa"/>
            <w:vAlign w:val="bottom"/>
            <w:gridSpan w:val="2"/>
          </w:tcPr>
          <w:p>
            <w:pPr>
              <w:jc w:val="center"/>
              <w:ind w:right="240"/>
              <w:spacing w:after="0" w:line="96" w:lineRule="exact"/>
              <w:rPr>
                <w:sz w:val="20"/>
                <w:szCs w:val="20"/>
                <w:color w:val="auto"/>
              </w:rPr>
            </w:pPr>
            <w:r>
              <w:rPr>
                <w:rFonts w:ascii="Times New Roman" w:cs="Times New Roman" w:eastAsia="Times New Roman" w:hAnsi="Times New Roman"/>
                <w:sz w:val="11"/>
                <w:szCs w:val="11"/>
                <w:b w:val="1"/>
                <w:bCs w:val="1"/>
                <w:color w:val="auto"/>
                <w:w w:val="94"/>
              </w:rPr>
              <w:t>Medicare</w:t>
            </w:r>
          </w:p>
        </w:tc>
        <w:tc>
          <w:tcPr>
            <w:tcW w:w="720" w:type="dxa"/>
            <w:vAlign w:val="bottom"/>
            <w:gridSpan w:val="3"/>
          </w:tcPr>
          <w:p>
            <w:pPr>
              <w:jc w:val="right"/>
              <w:ind w:right="280"/>
              <w:spacing w:after="0" w:line="96" w:lineRule="exact"/>
              <w:rPr>
                <w:sz w:val="20"/>
                <w:szCs w:val="20"/>
                <w:color w:val="auto"/>
              </w:rPr>
            </w:pPr>
            <w:r>
              <w:rPr>
                <w:rFonts w:ascii="Times New Roman" w:cs="Times New Roman" w:eastAsia="Times New Roman" w:hAnsi="Times New Roman"/>
                <w:sz w:val="11"/>
                <w:szCs w:val="11"/>
                <w:b w:val="1"/>
                <w:bCs w:val="1"/>
                <w:color w:val="auto"/>
                <w:w w:val="94"/>
              </w:rPr>
              <w:t>Medicare</w:t>
            </w:r>
          </w:p>
        </w:tc>
        <w:tc>
          <w:tcPr>
            <w:tcW w:w="700" w:type="dxa"/>
            <w:vAlign w:val="bottom"/>
            <w:gridSpan w:val="4"/>
          </w:tcPr>
          <w:p>
            <w:pPr>
              <w:jc w:val="right"/>
              <w:ind w:right="260"/>
              <w:spacing w:after="0" w:line="96" w:lineRule="exact"/>
              <w:rPr>
                <w:sz w:val="20"/>
                <w:szCs w:val="20"/>
                <w:color w:val="auto"/>
              </w:rPr>
            </w:pPr>
            <w:r>
              <w:rPr>
                <w:rFonts w:ascii="Times New Roman" w:cs="Times New Roman" w:eastAsia="Times New Roman" w:hAnsi="Times New Roman"/>
                <w:sz w:val="11"/>
                <w:szCs w:val="11"/>
                <w:b w:val="1"/>
                <w:bCs w:val="1"/>
                <w:color w:val="auto"/>
                <w:w w:val="94"/>
              </w:rPr>
              <w:t>Medicare</w:t>
            </w:r>
          </w:p>
        </w:tc>
        <w:tc>
          <w:tcPr>
            <w:tcW w:w="840" w:type="dxa"/>
            <w:vAlign w:val="bottom"/>
            <w:gridSpan w:val="3"/>
          </w:tcPr>
          <w:p>
            <w:pPr>
              <w:jc w:val="center"/>
              <w:ind w:right="260"/>
              <w:spacing w:after="0" w:line="96" w:lineRule="exact"/>
              <w:rPr>
                <w:sz w:val="20"/>
                <w:szCs w:val="20"/>
                <w:color w:val="auto"/>
              </w:rPr>
            </w:pPr>
            <w:r>
              <w:rPr>
                <w:rFonts w:ascii="Times New Roman" w:cs="Times New Roman" w:eastAsia="Times New Roman" w:hAnsi="Times New Roman"/>
                <w:sz w:val="11"/>
                <w:szCs w:val="11"/>
                <w:b w:val="1"/>
                <w:bCs w:val="1"/>
                <w:color w:val="auto"/>
                <w:w w:val="99"/>
              </w:rPr>
              <w:t>Private &amp;</w:t>
            </w: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131"/>
        </w:trPr>
        <w:tc>
          <w:tcPr>
            <w:tcW w:w="1740" w:type="dxa"/>
            <w:vAlign w:val="bottom"/>
          </w:tcPr>
          <w:p>
            <w:pPr>
              <w:spacing w:after="0"/>
              <w:rPr>
                <w:sz w:val="11"/>
                <w:szCs w:val="11"/>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insurance</w:t>
            </w:r>
          </w:p>
        </w:tc>
        <w:tc>
          <w:tcPr>
            <w:tcW w:w="220" w:type="dxa"/>
            <w:vAlign w:val="bottom"/>
          </w:tcPr>
          <w:p>
            <w:pPr>
              <w:spacing w:after="0"/>
              <w:rPr>
                <w:sz w:val="11"/>
                <w:szCs w:val="11"/>
                <w:color w:val="auto"/>
              </w:rPr>
            </w:pPr>
          </w:p>
        </w:tc>
        <w:tc>
          <w:tcPr>
            <w:tcW w:w="5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1"/>
                <w:szCs w:val="11"/>
                <w:b w:val="1"/>
                <w:bCs w:val="1"/>
                <w:color w:val="auto"/>
              </w:rPr>
              <w:t>Medicaid</w:t>
            </w:r>
          </w:p>
        </w:tc>
        <w:tc>
          <w:tcPr>
            <w:tcW w:w="200" w:type="dxa"/>
            <w:vAlign w:val="bottom"/>
          </w:tcPr>
          <w:p>
            <w:pPr>
              <w:spacing w:after="0"/>
              <w:rPr>
                <w:sz w:val="11"/>
                <w:szCs w:val="11"/>
                <w:color w:val="auto"/>
              </w:rPr>
            </w:pPr>
          </w:p>
        </w:tc>
        <w:tc>
          <w:tcPr>
            <w:tcW w:w="5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1"/>
                <w:szCs w:val="11"/>
                <w:b w:val="1"/>
                <w:bCs w:val="1"/>
                <w:color w:val="auto"/>
              </w:rPr>
              <w:t>Part A</w:t>
            </w:r>
          </w:p>
        </w:tc>
        <w:tc>
          <w:tcPr>
            <w:tcW w:w="220" w:type="dxa"/>
            <w:vAlign w:val="bottom"/>
          </w:tcPr>
          <w:p>
            <w:pPr>
              <w:spacing w:after="0"/>
              <w:rPr>
                <w:sz w:val="11"/>
                <w:szCs w:val="11"/>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Part B</w:t>
            </w:r>
          </w:p>
        </w:tc>
        <w:tc>
          <w:tcPr>
            <w:tcW w:w="200" w:type="dxa"/>
            <w:vAlign w:val="bottom"/>
          </w:tcPr>
          <w:p>
            <w:pPr>
              <w:spacing w:after="0"/>
              <w:rPr>
                <w:sz w:val="11"/>
                <w:szCs w:val="11"/>
                <w:color w:val="auto"/>
              </w:rPr>
            </w:pPr>
          </w:p>
        </w:tc>
        <w:tc>
          <w:tcPr>
            <w:tcW w:w="52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Part C</w:t>
            </w:r>
          </w:p>
        </w:tc>
        <w:tc>
          <w:tcPr>
            <w:tcW w:w="200" w:type="dxa"/>
            <w:vAlign w:val="bottom"/>
            <w:gridSpan w:val="2"/>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w w:val="95"/>
              </w:rPr>
              <w:t>Part D</w:t>
            </w:r>
          </w:p>
        </w:tc>
        <w:tc>
          <w:tcPr>
            <w:tcW w:w="180" w:type="dxa"/>
            <w:vAlign w:val="bottom"/>
            <w:gridSpan w:val="2"/>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5"/>
              </w:rPr>
              <w:t>other</w:t>
            </w:r>
          </w:p>
        </w:tc>
        <w:tc>
          <w:tcPr>
            <w:tcW w:w="240" w:type="dxa"/>
            <w:vAlign w:val="bottom"/>
          </w:tcPr>
          <w:p>
            <w:pPr>
              <w:spacing w:after="0"/>
              <w:rPr>
                <w:sz w:val="11"/>
                <w:szCs w:val="11"/>
                <w:color w:val="auto"/>
              </w:rPr>
            </w:pPr>
          </w:p>
        </w:tc>
        <w:tc>
          <w:tcPr>
            <w:tcW w:w="4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120" w:type="dxa"/>
            <w:vAlign w:val="bottom"/>
          </w:tcPr>
          <w:p>
            <w:pPr>
              <w:spacing w:after="0"/>
              <w:rPr>
                <w:sz w:val="11"/>
                <w:szCs w:val="11"/>
                <w:color w:val="auto"/>
              </w:rPr>
            </w:pPr>
          </w:p>
        </w:tc>
      </w:tr>
      <w:tr>
        <w:trPr>
          <w:trHeight w:val="109"/>
        </w:trPr>
        <w:tc>
          <w:tcPr>
            <w:tcW w:w="1740" w:type="dxa"/>
            <w:vAlign w:val="bottom"/>
            <w:tcBorders>
              <w:right w:val="single" w:sz="8" w:color="CFF0FC"/>
            </w:tcBorders>
            <w:shd w:val="clear" w:color="auto" w:fill="CFF0FC"/>
          </w:tcPr>
          <w:p>
            <w:pPr>
              <w:spacing w:after="0" w:line="109" w:lineRule="exact"/>
              <w:rPr>
                <w:sz w:val="20"/>
                <w:szCs w:val="20"/>
                <w:color w:val="auto"/>
              </w:rPr>
            </w:pPr>
            <w:r>
              <w:rPr>
                <w:rFonts w:ascii="Times New Roman" w:cs="Times New Roman" w:eastAsia="Times New Roman" w:hAnsi="Times New Roman"/>
                <w:sz w:val="11"/>
                <w:szCs w:val="11"/>
                <w:color w:val="auto"/>
              </w:rPr>
              <w:t>Specialty and Infusion Pharmacy</w:t>
            </w:r>
          </w:p>
        </w:tc>
        <w:tc>
          <w:tcPr>
            <w:tcW w:w="920" w:type="dxa"/>
            <w:vAlign w:val="bottom"/>
            <w:tcBorders>
              <w:right w:val="single" w:sz="8" w:color="CFF0FC"/>
            </w:tcBorders>
            <w:gridSpan w:val="2"/>
            <w:shd w:val="clear" w:color="auto" w:fill="CFF0FC"/>
          </w:tcPr>
          <w:p>
            <w:pPr>
              <w:jc w:val="right"/>
              <w:ind w:right="120"/>
              <w:spacing w:after="0" w:line="109" w:lineRule="exact"/>
              <w:rPr>
                <w:sz w:val="20"/>
                <w:szCs w:val="20"/>
                <w:color w:val="auto"/>
              </w:rPr>
            </w:pPr>
            <w:r>
              <w:rPr>
                <w:rFonts w:ascii="Times New Roman" w:cs="Times New Roman" w:eastAsia="Times New Roman" w:hAnsi="Times New Roman"/>
                <w:sz w:val="11"/>
                <w:szCs w:val="11"/>
                <w:color w:val="auto"/>
              </w:rPr>
              <w:t>24.8%</w:t>
            </w:r>
          </w:p>
        </w:tc>
        <w:tc>
          <w:tcPr>
            <w:tcW w:w="780" w:type="dxa"/>
            <w:vAlign w:val="bottom"/>
            <w:tcBorders>
              <w:right w:val="single" w:sz="8" w:color="CFF0FC"/>
            </w:tcBorders>
            <w:gridSpan w:val="2"/>
            <w:shd w:val="clear" w:color="auto" w:fill="CFF0FC"/>
          </w:tcPr>
          <w:p>
            <w:pPr>
              <w:jc w:val="right"/>
              <w:ind w:right="120"/>
              <w:spacing w:after="0" w:line="109" w:lineRule="exact"/>
              <w:rPr>
                <w:sz w:val="20"/>
                <w:szCs w:val="20"/>
                <w:color w:val="auto"/>
              </w:rPr>
            </w:pPr>
            <w:r>
              <w:rPr>
                <w:rFonts w:ascii="Times New Roman" w:cs="Times New Roman" w:eastAsia="Times New Roman" w:hAnsi="Times New Roman"/>
                <w:sz w:val="11"/>
                <w:szCs w:val="11"/>
                <w:color w:val="auto"/>
              </w:rPr>
              <w:t>7.4%</w:t>
            </w:r>
          </w:p>
        </w:tc>
        <w:tc>
          <w:tcPr>
            <w:tcW w:w="760" w:type="dxa"/>
            <w:vAlign w:val="bottom"/>
            <w:tcBorders>
              <w:right w:val="single" w:sz="8" w:color="CFF0FC"/>
            </w:tcBorders>
            <w:gridSpan w:val="2"/>
            <w:shd w:val="clear" w:color="auto" w:fill="CFF0FC"/>
          </w:tcPr>
          <w:p>
            <w:pPr>
              <w:jc w:val="right"/>
              <w:ind w:right="200"/>
              <w:spacing w:after="0" w:line="109"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right w:val="single" w:sz="8" w:color="CFF0FC"/>
            </w:tcBorders>
            <w:gridSpan w:val="2"/>
            <w:shd w:val="clear" w:color="auto" w:fill="CFF0FC"/>
          </w:tcPr>
          <w:p>
            <w:pPr>
              <w:jc w:val="right"/>
              <w:ind w:right="120"/>
              <w:spacing w:after="0" w:line="109" w:lineRule="exact"/>
              <w:rPr>
                <w:sz w:val="20"/>
                <w:szCs w:val="20"/>
                <w:color w:val="auto"/>
              </w:rPr>
            </w:pPr>
            <w:r>
              <w:rPr>
                <w:rFonts w:ascii="Times New Roman" w:cs="Times New Roman" w:eastAsia="Times New Roman" w:hAnsi="Times New Roman"/>
                <w:sz w:val="11"/>
                <w:szCs w:val="11"/>
                <w:color w:val="auto"/>
              </w:rPr>
              <w:t>0.5%</w:t>
            </w:r>
          </w:p>
        </w:tc>
        <w:tc>
          <w:tcPr>
            <w:tcW w:w="720" w:type="dxa"/>
            <w:vAlign w:val="bottom"/>
            <w:tcBorders>
              <w:right w:val="single" w:sz="8" w:color="CFF0FC"/>
            </w:tcBorders>
            <w:gridSpan w:val="3"/>
            <w:shd w:val="clear" w:color="auto" w:fill="CFF0FC"/>
          </w:tcPr>
          <w:p>
            <w:pPr>
              <w:jc w:val="right"/>
              <w:ind w:right="120"/>
              <w:spacing w:after="0" w:line="109" w:lineRule="exact"/>
              <w:rPr>
                <w:sz w:val="20"/>
                <w:szCs w:val="20"/>
                <w:color w:val="auto"/>
              </w:rPr>
            </w:pPr>
            <w:r>
              <w:rPr>
                <w:rFonts w:ascii="Times New Roman" w:cs="Times New Roman" w:eastAsia="Times New Roman" w:hAnsi="Times New Roman"/>
                <w:sz w:val="11"/>
                <w:szCs w:val="11"/>
                <w:color w:val="auto"/>
              </w:rPr>
              <w:t>16.8%</w:t>
            </w:r>
          </w:p>
        </w:tc>
        <w:tc>
          <w:tcPr>
            <w:tcW w:w="700" w:type="dxa"/>
            <w:vAlign w:val="bottom"/>
            <w:gridSpan w:val="4"/>
            <w:shd w:val="clear" w:color="auto" w:fill="CFF0FC"/>
          </w:tcPr>
          <w:p>
            <w:pPr>
              <w:jc w:val="right"/>
              <w:ind w:right="100"/>
              <w:spacing w:after="0" w:line="109" w:lineRule="exact"/>
              <w:rPr>
                <w:sz w:val="20"/>
                <w:szCs w:val="20"/>
                <w:color w:val="auto"/>
              </w:rPr>
            </w:pPr>
            <w:r>
              <w:rPr>
                <w:rFonts w:ascii="Times New Roman" w:cs="Times New Roman" w:eastAsia="Times New Roman" w:hAnsi="Times New Roman"/>
                <w:sz w:val="11"/>
                <w:szCs w:val="11"/>
                <w:color w:val="auto"/>
              </w:rPr>
              <w:t>23.8%</w:t>
            </w:r>
          </w:p>
        </w:tc>
        <w:tc>
          <w:tcPr>
            <w:tcW w:w="840" w:type="dxa"/>
            <w:vAlign w:val="bottom"/>
            <w:tcBorders>
              <w:right w:val="single" w:sz="8" w:color="CFF0FC"/>
            </w:tcBorders>
            <w:gridSpan w:val="3"/>
            <w:shd w:val="clear" w:color="auto" w:fill="CFF0FC"/>
          </w:tcPr>
          <w:p>
            <w:pPr>
              <w:ind w:left="460"/>
              <w:spacing w:after="0" w:line="109" w:lineRule="exact"/>
              <w:rPr>
                <w:sz w:val="20"/>
                <w:szCs w:val="20"/>
                <w:color w:val="auto"/>
              </w:rPr>
            </w:pPr>
            <w:r>
              <w:rPr>
                <w:rFonts w:ascii="Times New Roman" w:cs="Times New Roman" w:eastAsia="Times New Roman" w:hAnsi="Times New Roman"/>
                <w:sz w:val="11"/>
                <w:szCs w:val="11"/>
                <w:color w:val="auto"/>
              </w:rPr>
              <w:t>1.0%</w:t>
            </w:r>
          </w:p>
        </w:tc>
        <w:tc>
          <w:tcPr>
            <w:tcW w:w="540" w:type="dxa"/>
            <w:vAlign w:val="bottom"/>
            <w:gridSpan w:val="2"/>
            <w:shd w:val="clear" w:color="auto" w:fill="CFF0FC"/>
          </w:tcPr>
          <w:p>
            <w:pPr>
              <w:jc w:val="right"/>
              <w:ind w:right="40"/>
              <w:spacing w:after="0" w:line="109" w:lineRule="exact"/>
              <w:rPr>
                <w:sz w:val="20"/>
                <w:szCs w:val="20"/>
                <w:color w:val="auto"/>
              </w:rPr>
            </w:pPr>
            <w:r>
              <w:rPr>
                <w:rFonts w:ascii="Times New Roman" w:cs="Times New Roman" w:eastAsia="Times New Roman" w:hAnsi="Times New Roman"/>
                <w:sz w:val="11"/>
                <w:szCs w:val="11"/>
                <w:color w:val="auto"/>
              </w:rPr>
              <w:t>74.3%</w:t>
            </w:r>
          </w:p>
        </w:tc>
      </w:tr>
      <w:tr>
        <w:trPr>
          <w:trHeight w:val="118"/>
        </w:trPr>
        <w:tc>
          <w:tcPr>
            <w:tcW w:w="174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Home and Community Pharmacy</w:t>
            </w:r>
          </w:p>
        </w:tc>
        <w:tc>
          <w:tcPr>
            <w:tcW w:w="920" w:type="dxa"/>
            <w:vAlign w:val="bottom"/>
            <w:gridSpan w:val="2"/>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2.5%</w:t>
            </w:r>
          </w:p>
        </w:tc>
        <w:tc>
          <w:tcPr>
            <w:tcW w:w="780" w:type="dxa"/>
            <w:vAlign w:val="bottom"/>
            <w:gridSpan w:val="2"/>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1.4%</w:t>
            </w:r>
          </w:p>
        </w:tc>
        <w:tc>
          <w:tcPr>
            <w:tcW w:w="760" w:type="dxa"/>
            <w:vAlign w:val="bottom"/>
            <w:gridSpan w:val="2"/>
          </w:tcPr>
          <w:p>
            <w:pPr>
              <w:jc w:val="right"/>
              <w:ind w:right="100"/>
              <w:spacing w:after="0" w:line="119" w:lineRule="exact"/>
              <w:rPr>
                <w:sz w:val="20"/>
                <w:szCs w:val="20"/>
                <w:color w:val="auto"/>
              </w:rPr>
            </w:pPr>
            <w:r>
              <w:rPr>
                <w:rFonts w:ascii="Times New Roman" w:cs="Times New Roman" w:eastAsia="Times New Roman" w:hAnsi="Times New Roman"/>
                <w:sz w:val="11"/>
                <w:szCs w:val="11"/>
                <w:color w:val="auto"/>
              </w:rPr>
              <w:t>3.5%</w:t>
            </w:r>
          </w:p>
        </w:tc>
        <w:tc>
          <w:tcPr>
            <w:tcW w:w="740" w:type="dxa"/>
            <w:vAlign w:val="bottom"/>
            <w:gridSpan w:val="2"/>
          </w:tcPr>
          <w:p>
            <w:pPr>
              <w:jc w:val="right"/>
              <w:ind w:right="220"/>
              <w:spacing w:after="0" w:line="119"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3"/>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0.0%</w:t>
            </w:r>
          </w:p>
        </w:tc>
        <w:tc>
          <w:tcPr>
            <w:tcW w:w="700" w:type="dxa"/>
            <w:vAlign w:val="bottom"/>
            <w:gridSpan w:val="4"/>
          </w:tcPr>
          <w:p>
            <w:pPr>
              <w:jc w:val="right"/>
              <w:ind w:right="100"/>
              <w:spacing w:after="0" w:line="119" w:lineRule="exact"/>
              <w:rPr>
                <w:sz w:val="20"/>
                <w:szCs w:val="20"/>
                <w:color w:val="auto"/>
              </w:rPr>
            </w:pPr>
            <w:r>
              <w:rPr>
                <w:rFonts w:ascii="Times New Roman" w:cs="Times New Roman" w:eastAsia="Times New Roman" w:hAnsi="Times New Roman"/>
                <w:sz w:val="11"/>
                <w:szCs w:val="11"/>
                <w:color w:val="auto"/>
              </w:rPr>
              <w:t>5.9%</w:t>
            </w:r>
          </w:p>
        </w:tc>
        <w:tc>
          <w:tcPr>
            <w:tcW w:w="840" w:type="dxa"/>
            <w:vAlign w:val="bottom"/>
            <w:gridSpan w:val="3"/>
          </w:tcPr>
          <w:p>
            <w:pPr>
              <w:ind w:left="460"/>
              <w:spacing w:after="0" w:line="119" w:lineRule="exact"/>
              <w:rPr>
                <w:sz w:val="20"/>
                <w:szCs w:val="20"/>
                <w:color w:val="auto"/>
              </w:rPr>
            </w:pPr>
            <w:r>
              <w:rPr>
                <w:rFonts w:ascii="Times New Roman" w:cs="Times New Roman" w:eastAsia="Times New Roman" w:hAnsi="Times New Roman"/>
                <w:sz w:val="11"/>
                <w:szCs w:val="11"/>
                <w:color w:val="auto"/>
              </w:rPr>
              <w:t>0.5%</w:t>
            </w:r>
          </w:p>
        </w:tc>
        <w:tc>
          <w:tcPr>
            <w:tcW w:w="540" w:type="dxa"/>
            <w:vAlign w:val="bottom"/>
            <w:gridSpan w:val="2"/>
          </w:tcPr>
          <w:p>
            <w:pPr>
              <w:jc w:val="right"/>
              <w:ind w:right="40"/>
              <w:spacing w:after="0" w:line="119" w:lineRule="exact"/>
              <w:rPr>
                <w:sz w:val="20"/>
                <w:szCs w:val="20"/>
                <w:color w:val="auto"/>
              </w:rPr>
            </w:pPr>
            <w:r>
              <w:rPr>
                <w:rFonts w:ascii="Times New Roman" w:cs="Times New Roman" w:eastAsia="Times New Roman" w:hAnsi="Times New Roman"/>
                <w:sz w:val="11"/>
                <w:szCs w:val="11"/>
                <w:color w:val="auto"/>
              </w:rPr>
              <w:t>13.8%</w:t>
            </w:r>
          </w:p>
        </w:tc>
      </w:tr>
      <w:tr>
        <w:trPr>
          <w:trHeight w:val="20"/>
        </w:trPr>
        <w:tc>
          <w:tcPr>
            <w:tcW w:w="1740" w:type="dxa"/>
            <w:vAlign w:val="bottom"/>
            <w:tcBorders>
              <w:right w:val="single" w:sz="8" w:color="auto"/>
            </w:tcBorders>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09"/>
        </w:trPr>
        <w:tc>
          <w:tcPr>
            <w:tcW w:w="1740" w:type="dxa"/>
            <w:vAlign w:val="bottom"/>
            <w:tcBorders>
              <w:right w:val="single" w:sz="8" w:color="CFF0FC"/>
            </w:tcBorders>
            <w:shd w:val="clear" w:color="auto" w:fill="CFF0FC"/>
          </w:tcPr>
          <w:p>
            <w:pPr>
              <w:ind w:left="140"/>
              <w:spacing w:after="0" w:line="109" w:lineRule="exact"/>
              <w:rPr>
                <w:sz w:val="20"/>
                <w:szCs w:val="20"/>
                <w:color w:val="auto"/>
              </w:rPr>
            </w:pPr>
            <w:r>
              <w:rPr>
                <w:rFonts w:ascii="Times New Roman" w:cs="Times New Roman" w:eastAsia="Times New Roman" w:hAnsi="Times New Roman"/>
                <w:sz w:val="11"/>
                <w:szCs w:val="11"/>
                <w:b w:val="1"/>
                <w:bCs w:val="1"/>
                <w:color w:val="auto"/>
              </w:rPr>
              <w:t>Pharmacy Solutions</w:t>
            </w:r>
          </w:p>
        </w:tc>
        <w:tc>
          <w:tcPr>
            <w:tcW w:w="920" w:type="dxa"/>
            <w:vAlign w:val="bottom"/>
            <w:tcBorders>
              <w:right w:val="single" w:sz="8" w:color="CFF0FC"/>
            </w:tcBorders>
            <w:gridSpan w:val="2"/>
            <w:shd w:val="clear" w:color="auto" w:fill="CFF0FC"/>
          </w:tcPr>
          <w:p>
            <w:pPr>
              <w:jc w:val="right"/>
              <w:ind w:right="100"/>
              <w:spacing w:after="0" w:line="109" w:lineRule="exact"/>
              <w:rPr>
                <w:sz w:val="20"/>
                <w:szCs w:val="20"/>
                <w:color w:val="auto"/>
              </w:rPr>
            </w:pPr>
            <w:r>
              <w:rPr>
                <w:rFonts w:ascii="Times New Roman" w:cs="Times New Roman" w:eastAsia="Times New Roman" w:hAnsi="Times New Roman"/>
                <w:sz w:val="11"/>
                <w:szCs w:val="11"/>
                <w:b w:val="1"/>
                <w:bCs w:val="1"/>
                <w:color w:val="auto"/>
              </w:rPr>
              <w:t>27.3%</w:t>
            </w:r>
          </w:p>
        </w:tc>
        <w:tc>
          <w:tcPr>
            <w:tcW w:w="780" w:type="dxa"/>
            <w:vAlign w:val="bottom"/>
            <w:tcBorders>
              <w:right w:val="single" w:sz="8" w:color="CFF0FC"/>
            </w:tcBorders>
            <w:gridSpan w:val="2"/>
            <w:shd w:val="clear" w:color="auto" w:fill="CFF0FC"/>
          </w:tcPr>
          <w:p>
            <w:pPr>
              <w:jc w:val="right"/>
              <w:ind w:right="100"/>
              <w:spacing w:after="0" w:line="109" w:lineRule="exact"/>
              <w:rPr>
                <w:sz w:val="20"/>
                <w:szCs w:val="20"/>
                <w:color w:val="auto"/>
              </w:rPr>
            </w:pPr>
            <w:r>
              <w:rPr>
                <w:rFonts w:ascii="Times New Roman" w:cs="Times New Roman" w:eastAsia="Times New Roman" w:hAnsi="Times New Roman"/>
                <w:sz w:val="11"/>
                <w:szCs w:val="11"/>
                <w:b w:val="1"/>
                <w:bCs w:val="1"/>
                <w:color w:val="auto"/>
              </w:rPr>
              <w:t>8.8%</w:t>
            </w:r>
          </w:p>
        </w:tc>
        <w:tc>
          <w:tcPr>
            <w:tcW w:w="760" w:type="dxa"/>
            <w:vAlign w:val="bottom"/>
            <w:tcBorders>
              <w:right w:val="single" w:sz="8" w:color="CFF0FC"/>
            </w:tcBorders>
            <w:gridSpan w:val="2"/>
            <w:shd w:val="clear" w:color="auto" w:fill="CFF0FC"/>
          </w:tcPr>
          <w:p>
            <w:pPr>
              <w:jc w:val="right"/>
              <w:ind w:right="80"/>
              <w:spacing w:after="0" w:line="109" w:lineRule="exact"/>
              <w:rPr>
                <w:sz w:val="20"/>
                <w:szCs w:val="20"/>
                <w:color w:val="auto"/>
              </w:rPr>
            </w:pPr>
            <w:r>
              <w:rPr>
                <w:rFonts w:ascii="Times New Roman" w:cs="Times New Roman" w:eastAsia="Times New Roman" w:hAnsi="Times New Roman"/>
                <w:sz w:val="11"/>
                <w:szCs w:val="11"/>
                <w:b w:val="1"/>
                <w:bCs w:val="1"/>
                <w:color w:val="auto"/>
              </w:rPr>
              <w:t>3.5%</w:t>
            </w:r>
          </w:p>
        </w:tc>
        <w:tc>
          <w:tcPr>
            <w:tcW w:w="740" w:type="dxa"/>
            <w:vAlign w:val="bottom"/>
            <w:tcBorders>
              <w:right w:val="single" w:sz="8" w:color="CFF0FC"/>
            </w:tcBorders>
            <w:gridSpan w:val="2"/>
            <w:shd w:val="clear" w:color="auto" w:fill="CFF0FC"/>
          </w:tcPr>
          <w:p>
            <w:pPr>
              <w:jc w:val="right"/>
              <w:ind w:right="100"/>
              <w:spacing w:after="0" w:line="109" w:lineRule="exact"/>
              <w:rPr>
                <w:sz w:val="20"/>
                <w:szCs w:val="20"/>
                <w:color w:val="auto"/>
              </w:rPr>
            </w:pPr>
            <w:r>
              <w:rPr>
                <w:rFonts w:ascii="Times New Roman" w:cs="Times New Roman" w:eastAsia="Times New Roman" w:hAnsi="Times New Roman"/>
                <w:sz w:val="11"/>
                <w:szCs w:val="11"/>
                <w:b w:val="1"/>
                <w:bCs w:val="1"/>
                <w:color w:val="auto"/>
              </w:rPr>
              <w:t>0.5%</w:t>
            </w:r>
          </w:p>
        </w:tc>
        <w:tc>
          <w:tcPr>
            <w:tcW w:w="720" w:type="dxa"/>
            <w:vAlign w:val="bottom"/>
            <w:tcBorders>
              <w:right w:val="single" w:sz="8" w:color="CFF0FC"/>
            </w:tcBorders>
            <w:gridSpan w:val="3"/>
            <w:shd w:val="clear" w:color="auto" w:fill="CFF0FC"/>
          </w:tcPr>
          <w:p>
            <w:pPr>
              <w:jc w:val="right"/>
              <w:ind w:right="100"/>
              <w:spacing w:after="0" w:line="109" w:lineRule="exact"/>
              <w:rPr>
                <w:sz w:val="20"/>
                <w:szCs w:val="20"/>
                <w:color w:val="auto"/>
              </w:rPr>
            </w:pPr>
            <w:r>
              <w:rPr>
                <w:rFonts w:ascii="Times New Roman" w:cs="Times New Roman" w:eastAsia="Times New Roman" w:hAnsi="Times New Roman"/>
                <w:sz w:val="11"/>
                <w:szCs w:val="11"/>
                <w:b w:val="1"/>
                <w:bCs w:val="1"/>
                <w:color w:val="auto"/>
              </w:rPr>
              <w:t>16.8%</w:t>
            </w:r>
          </w:p>
        </w:tc>
        <w:tc>
          <w:tcPr>
            <w:tcW w:w="700" w:type="dxa"/>
            <w:vAlign w:val="bottom"/>
            <w:gridSpan w:val="4"/>
            <w:shd w:val="clear" w:color="auto" w:fill="CFF0FC"/>
          </w:tcPr>
          <w:p>
            <w:pPr>
              <w:jc w:val="right"/>
              <w:ind w:right="80"/>
              <w:spacing w:after="0" w:line="109" w:lineRule="exact"/>
              <w:rPr>
                <w:sz w:val="20"/>
                <w:szCs w:val="20"/>
                <w:color w:val="auto"/>
              </w:rPr>
            </w:pPr>
            <w:r>
              <w:rPr>
                <w:rFonts w:ascii="Times New Roman" w:cs="Times New Roman" w:eastAsia="Times New Roman" w:hAnsi="Times New Roman"/>
                <w:sz w:val="11"/>
                <w:szCs w:val="11"/>
                <w:b w:val="1"/>
                <w:bCs w:val="1"/>
                <w:color w:val="auto"/>
              </w:rPr>
              <w:t>29.7%</w:t>
            </w:r>
          </w:p>
        </w:tc>
        <w:tc>
          <w:tcPr>
            <w:tcW w:w="840" w:type="dxa"/>
            <w:vAlign w:val="bottom"/>
            <w:tcBorders>
              <w:right w:val="single" w:sz="8" w:color="CFF0FC"/>
            </w:tcBorders>
            <w:gridSpan w:val="3"/>
            <w:shd w:val="clear" w:color="auto" w:fill="CFF0FC"/>
          </w:tcPr>
          <w:p>
            <w:pPr>
              <w:ind w:left="460"/>
              <w:spacing w:after="0" w:line="109" w:lineRule="exact"/>
              <w:rPr>
                <w:sz w:val="20"/>
                <w:szCs w:val="20"/>
                <w:color w:val="auto"/>
              </w:rPr>
            </w:pPr>
            <w:r>
              <w:rPr>
                <w:rFonts w:ascii="Times New Roman" w:cs="Times New Roman" w:eastAsia="Times New Roman" w:hAnsi="Times New Roman"/>
                <w:sz w:val="11"/>
                <w:szCs w:val="11"/>
                <w:b w:val="1"/>
                <w:bCs w:val="1"/>
                <w:color w:val="auto"/>
              </w:rPr>
              <w:t>1.5%</w:t>
            </w:r>
          </w:p>
        </w:tc>
        <w:tc>
          <w:tcPr>
            <w:tcW w:w="540" w:type="dxa"/>
            <w:vAlign w:val="bottom"/>
            <w:gridSpan w:val="2"/>
            <w:shd w:val="clear" w:color="auto" w:fill="CFF0FC"/>
          </w:tcPr>
          <w:p>
            <w:pPr>
              <w:jc w:val="right"/>
              <w:ind w:right="20"/>
              <w:spacing w:after="0" w:line="109" w:lineRule="exact"/>
              <w:rPr>
                <w:sz w:val="20"/>
                <w:szCs w:val="20"/>
                <w:color w:val="auto"/>
              </w:rPr>
            </w:pPr>
            <w:r>
              <w:rPr>
                <w:rFonts w:ascii="Times New Roman" w:cs="Times New Roman" w:eastAsia="Times New Roman" w:hAnsi="Times New Roman"/>
                <w:sz w:val="11"/>
                <w:szCs w:val="11"/>
                <w:b w:val="1"/>
                <w:bCs w:val="1"/>
                <w:color w:val="auto"/>
              </w:rPr>
              <w:t>88.1%</w:t>
            </w:r>
          </w:p>
        </w:tc>
      </w:tr>
      <w:tr>
        <w:trPr>
          <w:trHeight w:val="118"/>
        </w:trPr>
        <w:tc>
          <w:tcPr>
            <w:tcW w:w="174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Home Health Care</w:t>
            </w:r>
          </w:p>
        </w:tc>
        <w:tc>
          <w:tcPr>
            <w:tcW w:w="920" w:type="dxa"/>
            <w:vAlign w:val="bottom"/>
            <w:gridSpan w:val="2"/>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0.4%</w:t>
            </w:r>
          </w:p>
        </w:tc>
        <w:tc>
          <w:tcPr>
            <w:tcW w:w="780" w:type="dxa"/>
            <w:vAlign w:val="bottom"/>
            <w:gridSpan w:val="2"/>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0.2%</w:t>
            </w:r>
          </w:p>
        </w:tc>
        <w:tc>
          <w:tcPr>
            <w:tcW w:w="760" w:type="dxa"/>
            <w:vAlign w:val="bottom"/>
            <w:gridSpan w:val="2"/>
          </w:tcPr>
          <w:p>
            <w:pPr>
              <w:jc w:val="right"/>
              <w:ind w:right="100"/>
              <w:spacing w:after="0" w:line="119" w:lineRule="exact"/>
              <w:rPr>
                <w:sz w:val="20"/>
                <w:szCs w:val="20"/>
                <w:color w:val="auto"/>
              </w:rPr>
            </w:pPr>
            <w:r>
              <w:rPr>
                <w:rFonts w:ascii="Times New Roman" w:cs="Times New Roman" w:eastAsia="Times New Roman" w:hAnsi="Times New Roman"/>
                <w:sz w:val="11"/>
                <w:szCs w:val="11"/>
                <w:color w:val="auto"/>
              </w:rPr>
              <w:t>4.5%</w:t>
            </w:r>
          </w:p>
        </w:tc>
        <w:tc>
          <w:tcPr>
            <w:tcW w:w="740" w:type="dxa"/>
            <w:vAlign w:val="bottom"/>
            <w:gridSpan w:val="2"/>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0.1%</w:t>
            </w:r>
          </w:p>
        </w:tc>
        <w:tc>
          <w:tcPr>
            <w:tcW w:w="720" w:type="dxa"/>
            <w:vAlign w:val="bottom"/>
            <w:gridSpan w:val="3"/>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1.7%</w:t>
            </w:r>
          </w:p>
        </w:tc>
        <w:tc>
          <w:tcPr>
            <w:tcW w:w="80" w:type="dxa"/>
            <w:vAlign w:val="bottom"/>
          </w:tcPr>
          <w:p>
            <w:pPr>
              <w:spacing w:after="0"/>
              <w:rPr>
                <w:sz w:val="10"/>
                <w:szCs w:val="10"/>
                <w:color w:val="auto"/>
              </w:rPr>
            </w:pPr>
          </w:p>
        </w:tc>
        <w:tc>
          <w:tcPr>
            <w:tcW w:w="620" w:type="dxa"/>
            <w:vAlign w:val="bottom"/>
            <w:gridSpan w:val="3"/>
          </w:tcPr>
          <w:p>
            <w:pPr>
              <w:jc w:val="right"/>
              <w:ind w:right="20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3"/>
          </w:tcPr>
          <w:p>
            <w:pPr>
              <w:ind w:left="460"/>
              <w:spacing w:after="0" w:line="119" w:lineRule="exact"/>
              <w:rPr>
                <w:sz w:val="20"/>
                <w:szCs w:val="20"/>
                <w:color w:val="auto"/>
              </w:rPr>
            </w:pPr>
            <w:r>
              <w:rPr>
                <w:rFonts w:ascii="Times New Roman" w:cs="Times New Roman" w:eastAsia="Times New Roman" w:hAnsi="Times New Roman"/>
                <w:sz w:val="11"/>
                <w:szCs w:val="11"/>
                <w:color w:val="auto"/>
              </w:rPr>
              <w:t>0.2%</w:t>
            </w:r>
          </w:p>
        </w:tc>
        <w:tc>
          <w:tcPr>
            <w:tcW w:w="540" w:type="dxa"/>
            <w:vAlign w:val="bottom"/>
            <w:gridSpan w:val="2"/>
          </w:tcPr>
          <w:p>
            <w:pPr>
              <w:jc w:val="right"/>
              <w:ind w:right="40"/>
              <w:spacing w:after="0" w:line="119" w:lineRule="exact"/>
              <w:rPr>
                <w:sz w:val="20"/>
                <w:szCs w:val="20"/>
                <w:color w:val="auto"/>
              </w:rPr>
            </w:pPr>
            <w:r>
              <w:rPr>
                <w:rFonts w:ascii="Times New Roman" w:cs="Times New Roman" w:eastAsia="Times New Roman" w:hAnsi="Times New Roman"/>
                <w:sz w:val="11"/>
                <w:szCs w:val="11"/>
                <w:color w:val="auto"/>
              </w:rPr>
              <w:t>7.1%</w:t>
            </w:r>
          </w:p>
        </w:tc>
      </w:tr>
      <w:tr>
        <w:trPr>
          <w:trHeight w:val="118"/>
        </w:trPr>
        <w:tc>
          <w:tcPr>
            <w:tcW w:w="1740" w:type="dxa"/>
            <w:vAlign w:val="bottom"/>
            <w:tcBorders>
              <w:right w:val="single" w:sz="8" w:color="CFF0FC"/>
            </w:tcBorders>
            <w:shd w:val="clear" w:color="auto" w:fill="CFF0FC"/>
          </w:tcPr>
          <w:p>
            <w:pPr>
              <w:spacing w:after="0" w:line="119" w:lineRule="exact"/>
              <w:rPr>
                <w:sz w:val="20"/>
                <w:szCs w:val="20"/>
                <w:color w:val="auto"/>
              </w:rPr>
            </w:pPr>
            <w:r>
              <w:rPr>
                <w:rFonts w:ascii="Times New Roman" w:cs="Times New Roman" w:eastAsia="Times New Roman" w:hAnsi="Times New Roman"/>
                <w:sz w:val="11"/>
                <w:szCs w:val="11"/>
                <w:color w:val="auto"/>
              </w:rPr>
              <w:t>Rehab Care</w:t>
            </w:r>
          </w:p>
        </w:tc>
        <w:tc>
          <w:tcPr>
            <w:tcW w:w="920" w:type="dxa"/>
            <w:vAlign w:val="bottom"/>
            <w:tcBorders>
              <w:right w:val="single" w:sz="8" w:color="CFF0FC"/>
            </w:tcBorders>
            <w:gridSpan w:val="2"/>
            <w:shd w:val="clear" w:color="auto" w:fill="CFF0FC"/>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1.0%</w:t>
            </w:r>
          </w:p>
        </w:tc>
        <w:tc>
          <w:tcPr>
            <w:tcW w:w="780" w:type="dxa"/>
            <w:vAlign w:val="bottom"/>
            <w:tcBorders>
              <w:right w:val="single" w:sz="8" w:color="CFF0FC"/>
            </w:tcBorders>
            <w:gridSpan w:val="2"/>
            <w:shd w:val="clear" w:color="auto" w:fill="CFF0FC"/>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0.6%</w:t>
            </w:r>
          </w:p>
        </w:tc>
        <w:tc>
          <w:tcPr>
            <w:tcW w:w="760" w:type="dxa"/>
            <w:vAlign w:val="bottom"/>
            <w:tcBorders>
              <w:right w:val="single" w:sz="8" w:color="CFF0FC"/>
            </w:tcBorders>
            <w:gridSpan w:val="2"/>
            <w:shd w:val="clear" w:color="auto" w:fill="CFF0FC"/>
          </w:tcPr>
          <w:p>
            <w:pPr>
              <w:jc w:val="right"/>
              <w:ind w:right="200"/>
              <w:spacing w:after="0" w:line="119"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right w:val="single" w:sz="8" w:color="CFF0FC"/>
            </w:tcBorders>
            <w:gridSpan w:val="2"/>
            <w:shd w:val="clear" w:color="auto" w:fill="CFF0FC"/>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0.0%</w:t>
            </w:r>
          </w:p>
        </w:tc>
        <w:tc>
          <w:tcPr>
            <w:tcW w:w="720" w:type="dxa"/>
            <w:vAlign w:val="bottom"/>
            <w:tcBorders>
              <w:right w:val="single" w:sz="8" w:color="CFF0FC"/>
            </w:tcBorders>
            <w:gridSpan w:val="3"/>
            <w:shd w:val="clear" w:color="auto" w:fill="CFF0FC"/>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0.0%</w:t>
            </w:r>
          </w:p>
        </w:tc>
        <w:tc>
          <w:tcPr>
            <w:tcW w:w="80" w:type="dxa"/>
            <w:vAlign w:val="bottom"/>
            <w:shd w:val="clear" w:color="auto" w:fill="CFF0FC"/>
          </w:tcPr>
          <w:p>
            <w:pPr>
              <w:spacing w:after="0"/>
              <w:rPr>
                <w:sz w:val="10"/>
                <w:szCs w:val="10"/>
                <w:color w:val="auto"/>
              </w:rPr>
            </w:pPr>
          </w:p>
        </w:tc>
        <w:tc>
          <w:tcPr>
            <w:tcW w:w="620" w:type="dxa"/>
            <w:vAlign w:val="bottom"/>
            <w:gridSpan w:val="3"/>
            <w:shd w:val="clear" w:color="auto" w:fill="CFF0FC"/>
          </w:tcPr>
          <w:p>
            <w:pPr>
              <w:jc w:val="right"/>
              <w:ind w:right="20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right w:val="single" w:sz="8" w:color="CFF0FC"/>
            </w:tcBorders>
            <w:gridSpan w:val="3"/>
            <w:shd w:val="clear" w:color="auto" w:fill="CFF0FC"/>
          </w:tcPr>
          <w:p>
            <w:pPr>
              <w:ind w:left="460"/>
              <w:spacing w:after="0" w:line="119" w:lineRule="exact"/>
              <w:rPr>
                <w:sz w:val="20"/>
                <w:szCs w:val="20"/>
                <w:color w:val="auto"/>
              </w:rPr>
            </w:pPr>
            <w:r>
              <w:rPr>
                <w:rFonts w:ascii="Times New Roman" w:cs="Times New Roman" w:eastAsia="Times New Roman" w:hAnsi="Times New Roman"/>
                <w:sz w:val="11"/>
                <w:szCs w:val="11"/>
                <w:color w:val="auto"/>
              </w:rPr>
              <w:t>0.4%</w:t>
            </w:r>
          </w:p>
        </w:tc>
        <w:tc>
          <w:tcPr>
            <w:tcW w:w="540" w:type="dxa"/>
            <w:vAlign w:val="bottom"/>
            <w:gridSpan w:val="2"/>
            <w:shd w:val="clear" w:color="auto" w:fill="CFF0FC"/>
          </w:tcPr>
          <w:p>
            <w:pPr>
              <w:jc w:val="right"/>
              <w:ind w:right="40"/>
              <w:spacing w:after="0" w:line="119" w:lineRule="exact"/>
              <w:rPr>
                <w:sz w:val="20"/>
                <w:szCs w:val="20"/>
                <w:color w:val="auto"/>
              </w:rPr>
            </w:pPr>
            <w:r>
              <w:rPr>
                <w:rFonts w:ascii="Times New Roman" w:cs="Times New Roman" w:eastAsia="Times New Roman" w:hAnsi="Times New Roman"/>
                <w:sz w:val="11"/>
                <w:szCs w:val="11"/>
                <w:color w:val="auto"/>
              </w:rPr>
              <w:t>2.0%</w:t>
            </w:r>
          </w:p>
        </w:tc>
      </w:tr>
      <w:tr>
        <w:trPr>
          <w:trHeight w:val="118"/>
        </w:trPr>
        <w:tc>
          <w:tcPr>
            <w:tcW w:w="174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Personal Care</w:t>
            </w:r>
          </w:p>
        </w:tc>
        <w:tc>
          <w:tcPr>
            <w:tcW w:w="920" w:type="dxa"/>
            <w:vAlign w:val="bottom"/>
            <w:gridSpan w:val="2"/>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0.1%</w:t>
            </w:r>
          </w:p>
        </w:tc>
        <w:tc>
          <w:tcPr>
            <w:tcW w:w="780" w:type="dxa"/>
            <w:vAlign w:val="bottom"/>
            <w:gridSpan w:val="2"/>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1.8%</w:t>
            </w:r>
          </w:p>
        </w:tc>
        <w:tc>
          <w:tcPr>
            <w:tcW w:w="760" w:type="dxa"/>
            <w:vAlign w:val="bottom"/>
            <w:gridSpan w:val="2"/>
          </w:tcPr>
          <w:p>
            <w:pPr>
              <w:jc w:val="right"/>
              <w:ind w:right="200"/>
              <w:spacing w:after="0" w:line="119"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220"/>
              <w:spacing w:after="0" w:line="119"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3"/>
          </w:tcPr>
          <w:p>
            <w:pPr>
              <w:jc w:val="right"/>
              <w:ind w:right="22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620" w:type="dxa"/>
            <w:vAlign w:val="bottom"/>
            <w:gridSpan w:val="3"/>
          </w:tcPr>
          <w:p>
            <w:pPr>
              <w:jc w:val="right"/>
              <w:ind w:right="20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3"/>
          </w:tcPr>
          <w:p>
            <w:pPr>
              <w:ind w:left="460"/>
              <w:spacing w:after="0" w:line="119" w:lineRule="exact"/>
              <w:rPr>
                <w:sz w:val="20"/>
                <w:szCs w:val="20"/>
                <w:color w:val="auto"/>
              </w:rPr>
            </w:pPr>
            <w:r>
              <w:rPr>
                <w:rFonts w:ascii="Times New Roman" w:cs="Times New Roman" w:eastAsia="Times New Roman" w:hAnsi="Times New Roman"/>
                <w:sz w:val="11"/>
                <w:szCs w:val="11"/>
                <w:color w:val="auto"/>
              </w:rPr>
              <w:t>0.9%</w:t>
            </w:r>
          </w:p>
        </w:tc>
        <w:tc>
          <w:tcPr>
            <w:tcW w:w="540" w:type="dxa"/>
            <w:vAlign w:val="bottom"/>
            <w:gridSpan w:val="2"/>
          </w:tcPr>
          <w:p>
            <w:pPr>
              <w:jc w:val="right"/>
              <w:ind w:right="40"/>
              <w:spacing w:after="0" w:line="119" w:lineRule="exact"/>
              <w:rPr>
                <w:sz w:val="20"/>
                <w:szCs w:val="20"/>
                <w:color w:val="auto"/>
              </w:rPr>
            </w:pPr>
            <w:r>
              <w:rPr>
                <w:rFonts w:ascii="Times New Roman" w:cs="Times New Roman" w:eastAsia="Times New Roman" w:hAnsi="Times New Roman"/>
                <w:sz w:val="11"/>
                <w:szCs w:val="11"/>
                <w:color w:val="auto"/>
              </w:rPr>
              <w:t>2.8%</w:t>
            </w:r>
          </w:p>
        </w:tc>
      </w:tr>
      <w:tr>
        <w:trPr>
          <w:trHeight w:val="20"/>
        </w:trPr>
        <w:tc>
          <w:tcPr>
            <w:tcW w:w="1740" w:type="dxa"/>
            <w:vAlign w:val="bottom"/>
            <w:tcBorders>
              <w:right w:val="single" w:sz="8" w:color="auto"/>
            </w:tcBorders>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09"/>
        </w:trPr>
        <w:tc>
          <w:tcPr>
            <w:tcW w:w="1740" w:type="dxa"/>
            <w:vAlign w:val="bottom"/>
            <w:tcBorders>
              <w:right w:val="single" w:sz="8" w:color="CFF0FC"/>
            </w:tcBorders>
            <w:shd w:val="clear" w:color="auto" w:fill="CFF0FC"/>
          </w:tcPr>
          <w:p>
            <w:pPr>
              <w:ind w:left="140"/>
              <w:spacing w:after="0" w:line="109" w:lineRule="exact"/>
              <w:rPr>
                <w:sz w:val="20"/>
                <w:szCs w:val="20"/>
                <w:color w:val="auto"/>
              </w:rPr>
            </w:pPr>
            <w:r>
              <w:rPr>
                <w:rFonts w:ascii="Times New Roman" w:cs="Times New Roman" w:eastAsia="Times New Roman" w:hAnsi="Times New Roman"/>
                <w:sz w:val="11"/>
                <w:szCs w:val="11"/>
                <w:b w:val="1"/>
                <w:bCs w:val="1"/>
                <w:color w:val="auto"/>
              </w:rPr>
              <w:t>Provider Services</w:t>
            </w:r>
          </w:p>
        </w:tc>
        <w:tc>
          <w:tcPr>
            <w:tcW w:w="920" w:type="dxa"/>
            <w:vAlign w:val="bottom"/>
            <w:tcBorders>
              <w:right w:val="single" w:sz="8" w:color="CFF0FC"/>
            </w:tcBorders>
            <w:gridSpan w:val="2"/>
            <w:shd w:val="clear" w:color="auto" w:fill="CFF0FC"/>
          </w:tcPr>
          <w:p>
            <w:pPr>
              <w:jc w:val="right"/>
              <w:ind w:right="100"/>
              <w:spacing w:after="0" w:line="109" w:lineRule="exact"/>
              <w:rPr>
                <w:sz w:val="20"/>
                <w:szCs w:val="20"/>
                <w:color w:val="auto"/>
              </w:rPr>
            </w:pPr>
            <w:r>
              <w:rPr>
                <w:rFonts w:ascii="Times New Roman" w:cs="Times New Roman" w:eastAsia="Times New Roman" w:hAnsi="Times New Roman"/>
                <w:sz w:val="11"/>
                <w:szCs w:val="11"/>
                <w:b w:val="1"/>
                <w:bCs w:val="1"/>
                <w:color w:val="auto"/>
              </w:rPr>
              <w:t>1.5%</w:t>
            </w:r>
          </w:p>
        </w:tc>
        <w:tc>
          <w:tcPr>
            <w:tcW w:w="780" w:type="dxa"/>
            <w:vAlign w:val="bottom"/>
            <w:tcBorders>
              <w:right w:val="single" w:sz="8" w:color="CFF0FC"/>
            </w:tcBorders>
            <w:gridSpan w:val="2"/>
            <w:shd w:val="clear" w:color="auto" w:fill="CFF0FC"/>
          </w:tcPr>
          <w:p>
            <w:pPr>
              <w:jc w:val="right"/>
              <w:ind w:right="100"/>
              <w:spacing w:after="0" w:line="109" w:lineRule="exact"/>
              <w:rPr>
                <w:sz w:val="20"/>
                <w:szCs w:val="20"/>
                <w:color w:val="auto"/>
              </w:rPr>
            </w:pPr>
            <w:r>
              <w:rPr>
                <w:rFonts w:ascii="Times New Roman" w:cs="Times New Roman" w:eastAsia="Times New Roman" w:hAnsi="Times New Roman"/>
                <w:sz w:val="11"/>
                <w:szCs w:val="11"/>
                <w:b w:val="1"/>
                <w:bCs w:val="1"/>
                <w:color w:val="auto"/>
              </w:rPr>
              <w:t>2.6%</w:t>
            </w:r>
          </w:p>
        </w:tc>
        <w:tc>
          <w:tcPr>
            <w:tcW w:w="760" w:type="dxa"/>
            <w:vAlign w:val="bottom"/>
            <w:tcBorders>
              <w:right w:val="single" w:sz="8" w:color="CFF0FC"/>
            </w:tcBorders>
            <w:gridSpan w:val="2"/>
            <w:shd w:val="clear" w:color="auto" w:fill="CFF0FC"/>
          </w:tcPr>
          <w:p>
            <w:pPr>
              <w:jc w:val="right"/>
              <w:ind w:right="80"/>
              <w:spacing w:after="0" w:line="109" w:lineRule="exact"/>
              <w:rPr>
                <w:sz w:val="20"/>
                <w:szCs w:val="20"/>
                <w:color w:val="auto"/>
              </w:rPr>
            </w:pPr>
            <w:r>
              <w:rPr>
                <w:rFonts w:ascii="Times New Roman" w:cs="Times New Roman" w:eastAsia="Times New Roman" w:hAnsi="Times New Roman"/>
                <w:sz w:val="11"/>
                <w:szCs w:val="11"/>
                <w:b w:val="1"/>
                <w:bCs w:val="1"/>
                <w:color w:val="auto"/>
              </w:rPr>
              <w:t>4.5%</w:t>
            </w:r>
          </w:p>
        </w:tc>
        <w:tc>
          <w:tcPr>
            <w:tcW w:w="740" w:type="dxa"/>
            <w:vAlign w:val="bottom"/>
            <w:tcBorders>
              <w:right w:val="single" w:sz="8" w:color="CFF0FC"/>
            </w:tcBorders>
            <w:gridSpan w:val="2"/>
            <w:shd w:val="clear" w:color="auto" w:fill="CFF0FC"/>
          </w:tcPr>
          <w:p>
            <w:pPr>
              <w:jc w:val="right"/>
              <w:ind w:right="100"/>
              <w:spacing w:after="0" w:line="109" w:lineRule="exact"/>
              <w:rPr>
                <w:sz w:val="20"/>
                <w:szCs w:val="20"/>
                <w:color w:val="auto"/>
              </w:rPr>
            </w:pPr>
            <w:r>
              <w:rPr>
                <w:rFonts w:ascii="Times New Roman" w:cs="Times New Roman" w:eastAsia="Times New Roman" w:hAnsi="Times New Roman"/>
                <w:sz w:val="11"/>
                <w:szCs w:val="11"/>
                <w:b w:val="1"/>
                <w:bCs w:val="1"/>
                <w:color w:val="auto"/>
              </w:rPr>
              <w:t>0.1%</w:t>
            </w:r>
          </w:p>
        </w:tc>
        <w:tc>
          <w:tcPr>
            <w:tcW w:w="720" w:type="dxa"/>
            <w:vAlign w:val="bottom"/>
            <w:tcBorders>
              <w:right w:val="single" w:sz="8" w:color="CFF0FC"/>
            </w:tcBorders>
            <w:gridSpan w:val="3"/>
            <w:shd w:val="clear" w:color="auto" w:fill="CFF0FC"/>
          </w:tcPr>
          <w:p>
            <w:pPr>
              <w:jc w:val="right"/>
              <w:ind w:right="100"/>
              <w:spacing w:after="0" w:line="109" w:lineRule="exact"/>
              <w:rPr>
                <w:sz w:val="20"/>
                <w:szCs w:val="20"/>
                <w:color w:val="auto"/>
              </w:rPr>
            </w:pPr>
            <w:r>
              <w:rPr>
                <w:rFonts w:ascii="Times New Roman" w:cs="Times New Roman" w:eastAsia="Times New Roman" w:hAnsi="Times New Roman"/>
                <w:sz w:val="11"/>
                <w:szCs w:val="11"/>
                <w:b w:val="1"/>
                <w:bCs w:val="1"/>
                <w:color w:val="auto"/>
              </w:rPr>
              <w:t>1.7%</w:t>
            </w:r>
          </w:p>
        </w:tc>
        <w:tc>
          <w:tcPr>
            <w:tcW w:w="80" w:type="dxa"/>
            <w:vAlign w:val="bottom"/>
            <w:shd w:val="clear" w:color="auto" w:fill="CFF0FC"/>
          </w:tcPr>
          <w:p>
            <w:pPr>
              <w:spacing w:after="0"/>
              <w:rPr>
                <w:sz w:val="9"/>
                <w:szCs w:val="9"/>
                <w:color w:val="auto"/>
              </w:rPr>
            </w:pPr>
          </w:p>
        </w:tc>
        <w:tc>
          <w:tcPr>
            <w:tcW w:w="620" w:type="dxa"/>
            <w:vAlign w:val="bottom"/>
            <w:gridSpan w:val="3"/>
            <w:shd w:val="clear" w:color="auto" w:fill="CFF0FC"/>
          </w:tcPr>
          <w:p>
            <w:pPr>
              <w:jc w:val="right"/>
              <w:ind w:right="200"/>
              <w:spacing w:after="0" w:line="109" w:lineRule="exact"/>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right w:val="single" w:sz="8" w:color="CFF0FC"/>
            </w:tcBorders>
            <w:gridSpan w:val="3"/>
            <w:shd w:val="clear" w:color="auto" w:fill="CFF0FC"/>
          </w:tcPr>
          <w:p>
            <w:pPr>
              <w:ind w:left="460"/>
              <w:spacing w:after="0" w:line="109" w:lineRule="exact"/>
              <w:rPr>
                <w:sz w:val="20"/>
                <w:szCs w:val="20"/>
                <w:color w:val="auto"/>
              </w:rPr>
            </w:pPr>
            <w:r>
              <w:rPr>
                <w:rFonts w:ascii="Times New Roman" w:cs="Times New Roman" w:eastAsia="Times New Roman" w:hAnsi="Times New Roman"/>
                <w:sz w:val="11"/>
                <w:szCs w:val="11"/>
                <w:b w:val="1"/>
                <w:bCs w:val="1"/>
                <w:color w:val="auto"/>
              </w:rPr>
              <w:t>1.5%</w:t>
            </w:r>
          </w:p>
        </w:tc>
        <w:tc>
          <w:tcPr>
            <w:tcW w:w="540" w:type="dxa"/>
            <w:vAlign w:val="bottom"/>
            <w:gridSpan w:val="2"/>
            <w:shd w:val="clear" w:color="auto" w:fill="CFF0FC"/>
          </w:tcPr>
          <w:p>
            <w:pPr>
              <w:jc w:val="right"/>
              <w:ind w:right="20"/>
              <w:spacing w:after="0" w:line="109" w:lineRule="exact"/>
              <w:rPr>
                <w:sz w:val="20"/>
                <w:szCs w:val="20"/>
                <w:color w:val="auto"/>
              </w:rPr>
            </w:pPr>
            <w:r>
              <w:rPr>
                <w:rFonts w:ascii="Times New Roman" w:cs="Times New Roman" w:eastAsia="Times New Roman" w:hAnsi="Times New Roman"/>
                <w:sz w:val="11"/>
                <w:szCs w:val="11"/>
                <w:b w:val="1"/>
                <w:bCs w:val="1"/>
                <w:color w:val="auto"/>
              </w:rPr>
              <w:t>11.9%</w:t>
            </w:r>
          </w:p>
        </w:tc>
      </w:tr>
      <w:tr>
        <w:trPr>
          <w:trHeight w:val="20"/>
        </w:trPr>
        <w:tc>
          <w:tcPr>
            <w:tcW w:w="1740" w:type="dxa"/>
            <w:vAlign w:val="bottom"/>
            <w:tcBorders>
              <w:right w:val="single" w:sz="8" w:color="auto"/>
            </w:tcBorders>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Borders>
              <w:left w:val="single" w:sz="8" w:color="CFF0FC"/>
              <w:right w:val="single" w:sz="8" w:color="auto"/>
            </w:tcBorders>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Borders>
              <w:left w:val="single" w:sz="8" w:color="CFF0FC"/>
              <w:right w:val="single" w:sz="8" w:color="auto"/>
            </w:tcBorders>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Borders>
              <w:left w:val="single" w:sz="8" w:color="auto"/>
              <w:right w:val="single" w:sz="8" w:color="CFF0FC"/>
            </w:tcBorders>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Borders>
              <w:left w:val="single" w:sz="8" w:color="CFF0FC"/>
              <w:right w:val="single" w:sz="8" w:color="auto"/>
            </w:tcBorders>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tcBorders>
              <w:right w:val="single" w:sz="8" w:color="auto"/>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Borders>
              <w:left w:val="single" w:sz="8" w:color="CFF0FC"/>
              <w:right w:val="single" w:sz="8" w:color="auto"/>
            </w:tcBorders>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09"/>
        </w:trPr>
        <w:tc>
          <w:tcPr>
            <w:tcW w:w="1740" w:type="dxa"/>
            <w:vAlign w:val="bottom"/>
          </w:tcPr>
          <w:p>
            <w:pPr>
              <w:ind w:left="280"/>
              <w:spacing w:after="0" w:line="109" w:lineRule="exact"/>
              <w:rPr>
                <w:sz w:val="20"/>
                <w:szCs w:val="20"/>
                <w:color w:val="auto"/>
              </w:rPr>
            </w:pPr>
            <w:r>
              <w:rPr>
                <w:rFonts w:ascii="Times New Roman" w:cs="Times New Roman" w:eastAsia="Times New Roman" w:hAnsi="Times New Roman"/>
                <w:sz w:val="11"/>
                <w:szCs w:val="11"/>
                <w:b w:val="1"/>
                <w:bCs w:val="1"/>
                <w:color w:val="auto"/>
              </w:rPr>
              <w:t>Consolidated BrightSpring</w:t>
            </w:r>
          </w:p>
        </w:tc>
        <w:tc>
          <w:tcPr>
            <w:tcW w:w="920" w:type="dxa"/>
            <w:vAlign w:val="bottom"/>
            <w:gridSpan w:val="2"/>
          </w:tcPr>
          <w:p>
            <w:pPr>
              <w:jc w:val="right"/>
              <w:ind w:right="100"/>
              <w:spacing w:after="0" w:line="109" w:lineRule="exact"/>
              <w:rPr>
                <w:sz w:val="20"/>
                <w:szCs w:val="20"/>
                <w:color w:val="auto"/>
              </w:rPr>
            </w:pPr>
            <w:r>
              <w:rPr>
                <w:rFonts w:ascii="Times New Roman" w:cs="Times New Roman" w:eastAsia="Times New Roman" w:hAnsi="Times New Roman"/>
                <w:sz w:val="11"/>
                <w:szCs w:val="11"/>
                <w:b w:val="1"/>
                <w:bCs w:val="1"/>
                <w:color w:val="auto"/>
              </w:rPr>
              <w:t>28.8%</w:t>
            </w:r>
          </w:p>
        </w:tc>
        <w:tc>
          <w:tcPr>
            <w:tcW w:w="780" w:type="dxa"/>
            <w:vAlign w:val="bottom"/>
            <w:gridSpan w:val="2"/>
          </w:tcPr>
          <w:p>
            <w:pPr>
              <w:jc w:val="right"/>
              <w:ind w:right="100"/>
              <w:spacing w:after="0" w:line="109" w:lineRule="exact"/>
              <w:rPr>
                <w:sz w:val="20"/>
                <w:szCs w:val="20"/>
                <w:color w:val="auto"/>
              </w:rPr>
            </w:pPr>
            <w:r>
              <w:rPr>
                <w:rFonts w:ascii="Times New Roman" w:cs="Times New Roman" w:eastAsia="Times New Roman" w:hAnsi="Times New Roman"/>
                <w:sz w:val="11"/>
                <w:szCs w:val="11"/>
                <w:b w:val="1"/>
                <w:bCs w:val="1"/>
                <w:color w:val="auto"/>
              </w:rPr>
              <w:t>11.4%</w:t>
            </w:r>
          </w:p>
        </w:tc>
        <w:tc>
          <w:tcPr>
            <w:tcW w:w="760" w:type="dxa"/>
            <w:vAlign w:val="bottom"/>
            <w:gridSpan w:val="2"/>
          </w:tcPr>
          <w:p>
            <w:pPr>
              <w:jc w:val="right"/>
              <w:ind w:right="80"/>
              <w:spacing w:after="0" w:line="109" w:lineRule="exact"/>
              <w:rPr>
                <w:sz w:val="20"/>
                <w:szCs w:val="20"/>
                <w:color w:val="auto"/>
              </w:rPr>
            </w:pPr>
            <w:r>
              <w:rPr>
                <w:rFonts w:ascii="Times New Roman" w:cs="Times New Roman" w:eastAsia="Times New Roman" w:hAnsi="Times New Roman"/>
                <w:sz w:val="11"/>
                <w:szCs w:val="11"/>
                <w:b w:val="1"/>
                <w:bCs w:val="1"/>
                <w:color w:val="auto"/>
              </w:rPr>
              <w:t>8.0%</w:t>
            </w:r>
          </w:p>
        </w:tc>
        <w:tc>
          <w:tcPr>
            <w:tcW w:w="740" w:type="dxa"/>
            <w:vAlign w:val="bottom"/>
            <w:gridSpan w:val="2"/>
          </w:tcPr>
          <w:p>
            <w:pPr>
              <w:jc w:val="right"/>
              <w:ind w:right="100"/>
              <w:spacing w:after="0" w:line="109" w:lineRule="exact"/>
              <w:rPr>
                <w:sz w:val="20"/>
                <w:szCs w:val="20"/>
                <w:color w:val="auto"/>
              </w:rPr>
            </w:pPr>
            <w:r>
              <w:rPr>
                <w:rFonts w:ascii="Times New Roman" w:cs="Times New Roman" w:eastAsia="Times New Roman" w:hAnsi="Times New Roman"/>
                <w:sz w:val="11"/>
                <w:szCs w:val="11"/>
                <w:b w:val="1"/>
                <w:bCs w:val="1"/>
                <w:color w:val="auto"/>
              </w:rPr>
              <w:t>0.6%</w:t>
            </w:r>
          </w:p>
        </w:tc>
        <w:tc>
          <w:tcPr>
            <w:tcW w:w="720" w:type="dxa"/>
            <w:vAlign w:val="bottom"/>
            <w:gridSpan w:val="3"/>
          </w:tcPr>
          <w:p>
            <w:pPr>
              <w:jc w:val="right"/>
              <w:ind w:right="100"/>
              <w:spacing w:after="0" w:line="109" w:lineRule="exact"/>
              <w:rPr>
                <w:sz w:val="20"/>
                <w:szCs w:val="20"/>
                <w:color w:val="auto"/>
              </w:rPr>
            </w:pPr>
            <w:r>
              <w:rPr>
                <w:rFonts w:ascii="Times New Roman" w:cs="Times New Roman" w:eastAsia="Times New Roman" w:hAnsi="Times New Roman"/>
                <w:sz w:val="11"/>
                <w:szCs w:val="11"/>
                <w:b w:val="1"/>
                <w:bCs w:val="1"/>
                <w:color w:val="auto"/>
              </w:rPr>
              <w:t>18.5%</w:t>
            </w:r>
          </w:p>
        </w:tc>
        <w:tc>
          <w:tcPr>
            <w:tcW w:w="700" w:type="dxa"/>
            <w:vAlign w:val="bottom"/>
            <w:gridSpan w:val="4"/>
          </w:tcPr>
          <w:p>
            <w:pPr>
              <w:jc w:val="right"/>
              <w:ind w:right="80"/>
              <w:spacing w:after="0" w:line="109" w:lineRule="exact"/>
              <w:rPr>
                <w:sz w:val="20"/>
                <w:szCs w:val="20"/>
                <w:color w:val="auto"/>
              </w:rPr>
            </w:pPr>
            <w:r>
              <w:rPr>
                <w:rFonts w:ascii="Times New Roman" w:cs="Times New Roman" w:eastAsia="Times New Roman" w:hAnsi="Times New Roman"/>
                <w:sz w:val="11"/>
                <w:szCs w:val="11"/>
                <w:b w:val="1"/>
                <w:bCs w:val="1"/>
                <w:color w:val="auto"/>
              </w:rPr>
              <w:t>29.7%</w:t>
            </w:r>
          </w:p>
        </w:tc>
        <w:tc>
          <w:tcPr>
            <w:tcW w:w="840" w:type="dxa"/>
            <w:vAlign w:val="bottom"/>
            <w:gridSpan w:val="3"/>
          </w:tcPr>
          <w:p>
            <w:pPr>
              <w:ind w:left="460"/>
              <w:spacing w:after="0" w:line="109" w:lineRule="exact"/>
              <w:rPr>
                <w:sz w:val="20"/>
                <w:szCs w:val="20"/>
                <w:color w:val="auto"/>
              </w:rPr>
            </w:pPr>
            <w:r>
              <w:rPr>
                <w:rFonts w:ascii="Times New Roman" w:cs="Times New Roman" w:eastAsia="Times New Roman" w:hAnsi="Times New Roman"/>
                <w:sz w:val="11"/>
                <w:szCs w:val="11"/>
                <w:b w:val="1"/>
                <w:bCs w:val="1"/>
                <w:color w:val="auto"/>
              </w:rPr>
              <w:t>3.0%</w:t>
            </w:r>
          </w:p>
        </w:tc>
        <w:tc>
          <w:tcPr>
            <w:tcW w:w="540" w:type="dxa"/>
            <w:vAlign w:val="bottom"/>
            <w:gridSpan w:val="2"/>
          </w:tcPr>
          <w:p>
            <w:pPr>
              <w:jc w:val="right"/>
              <w:ind w:right="20"/>
              <w:spacing w:after="0" w:line="109" w:lineRule="exact"/>
              <w:rPr>
                <w:sz w:val="20"/>
                <w:szCs w:val="20"/>
                <w:color w:val="auto"/>
              </w:rPr>
            </w:pPr>
            <w:r>
              <w:rPr>
                <w:rFonts w:ascii="Times New Roman" w:cs="Times New Roman" w:eastAsia="Times New Roman" w:hAnsi="Times New Roman"/>
                <w:sz w:val="11"/>
                <w:szCs w:val="11"/>
                <w:b w:val="1"/>
                <w:bCs w:val="1"/>
                <w:color w:val="auto"/>
              </w:rPr>
              <w:t>100.0%</w:t>
            </w:r>
          </w:p>
        </w:tc>
      </w:tr>
      <w:tr>
        <w:trPr>
          <w:trHeight w:val="20"/>
        </w:trPr>
        <w:tc>
          <w:tcPr>
            <w:tcW w:w="17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84"/>
        </w:trPr>
        <w:tc>
          <w:tcPr>
            <w:tcW w:w="174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11"/>
          </w:tcPr>
          <w:p>
            <w:pPr>
              <w:ind w:left="120"/>
              <w:spacing w:after="0"/>
              <w:rPr>
                <w:sz w:val="20"/>
                <w:szCs w:val="20"/>
                <w:color w:val="auto"/>
              </w:rPr>
            </w:pPr>
            <w:r>
              <w:rPr>
                <w:rFonts w:ascii="Times New Roman" w:cs="Times New Roman" w:eastAsia="Times New Roman" w:hAnsi="Times New Roman"/>
                <w:sz w:val="11"/>
                <w:szCs w:val="11"/>
                <w:b w:val="1"/>
                <w:bCs w:val="1"/>
                <w:color w:val="auto"/>
              </w:rPr>
              <w:t>For the Nine Months Ended September 30, 2025</w:t>
            </w: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96"/>
        </w:trPr>
        <w:tc>
          <w:tcPr>
            <w:tcW w:w="1740" w:type="dxa"/>
            <w:vAlign w:val="bottom"/>
          </w:tcPr>
          <w:p>
            <w:pPr>
              <w:spacing w:after="0"/>
              <w:rPr>
                <w:sz w:val="8"/>
                <w:szCs w:val="8"/>
                <w:color w:val="auto"/>
              </w:rPr>
            </w:pPr>
          </w:p>
        </w:tc>
        <w:tc>
          <w:tcPr>
            <w:tcW w:w="920" w:type="dxa"/>
            <w:vAlign w:val="bottom"/>
            <w:gridSpan w:val="2"/>
          </w:tcPr>
          <w:p>
            <w:pPr>
              <w:jc w:val="center"/>
              <w:ind w:right="240"/>
              <w:spacing w:after="0" w:line="96" w:lineRule="exact"/>
              <w:rPr>
                <w:sz w:val="20"/>
                <w:szCs w:val="20"/>
                <w:color w:val="auto"/>
              </w:rPr>
            </w:pPr>
            <w:r>
              <w:rPr>
                <w:rFonts w:ascii="Times New Roman" w:cs="Times New Roman" w:eastAsia="Times New Roman" w:hAnsi="Times New Roman"/>
                <w:sz w:val="11"/>
                <w:szCs w:val="11"/>
                <w:b w:val="1"/>
                <w:bCs w:val="1"/>
                <w:color w:val="auto"/>
                <w:w w:val="96"/>
              </w:rPr>
              <w:t>Commercial</w:t>
            </w: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gridSpan w:val="2"/>
          </w:tcPr>
          <w:p>
            <w:pPr>
              <w:jc w:val="right"/>
              <w:ind w:right="300"/>
              <w:spacing w:after="0" w:line="96" w:lineRule="exact"/>
              <w:rPr>
                <w:sz w:val="20"/>
                <w:szCs w:val="20"/>
                <w:color w:val="auto"/>
              </w:rPr>
            </w:pPr>
            <w:r>
              <w:rPr>
                <w:rFonts w:ascii="Times New Roman" w:cs="Times New Roman" w:eastAsia="Times New Roman" w:hAnsi="Times New Roman"/>
                <w:sz w:val="11"/>
                <w:szCs w:val="11"/>
                <w:b w:val="1"/>
                <w:bCs w:val="1"/>
                <w:color w:val="auto"/>
                <w:w w:val="98"/>
              </w:rPr>
              <w:t>Medicare</w:t>
            </w:r>
          </w:p>
        </w:tc>
        <w:tc>
          <w:tcPr>
            <w:tcW w:w="740" w:type="dxa"/>
            <w:vAlign w:val="bottom"/>
            <w:gridSpan w:val="2"/>
          </w:tcPr>
          <w:p>
            <w:pPr>
              <w:jc w:val="center"/>
              <w:ind w:right="260"/>
              <w:spacing w:after="0" w:line="96" w:lineRule="exact"/>
              <w:rPr>
                <w:sz w:val="20"/>
                <w:szCs w:val="20"/>
                <w:color w:val="auto"/>
              </w:rPr>
            </w:pPr>
            <w:r>
              <w:rPr>
                <w:rFonts w:ascii="Times New Roman" w:cs="Times New Roman" w:eastAsia="Times New Roman" w:hAnsi="Times New Roman"/>
                <w:sz w:val="11"/>
                <w:szCs w:val="11"/>
                <w:b w:val="1"/>
                <w:bCs w:val="1"/>
                <w:color w:val="auto"/>
                <w:w w:val="98"/>
              </w:rPr>
              <w:t>Medicare</w:t>
            </w:r>
          </w:p>
        </w:tc>
        <w:tc>
          <w:tcPr>
            <w:tcW w:w="720" w:type="dxa"/>
            <w:vAlign w:val="bottom"/>
            <w:gridSpan w:val="3"/>
          </w:tcPr>
          <w:p>
            <w:pPr>
              <w:jc w:val="right"/>
              <w:ind w:right="220"/>
              <w:spacing w:after="0" w:line="96" w:lineRule="exact"/>
              <w:rPr>
                <w:sz w:val="20"/>
                <w:szCs w:val="20"/>
                <w:color w:val="auto"/>
              </w:rPr>
            </w:pPr>
            <w:r>
              <w:rPr>
                <w:rFonts w:ascii="Times New Roman" w:cs="Times New Roman" w:eastAsia="Times New Roman" w:hAnsi="Times New Roman"/>
                <w:sz w:val="11"/>
                <w:szCs w:val="11"/>
                <w:b w:val="1"/>
                <w:bCs w:val="1"/>
                <w:color w:val="auto"/>
              </w:rPr>
              <w:t>Medicare</w:t>
            </w:r>
          </w:p>
        </w:tc>
        <w:tc>
          <w:tcPr>
            <w:tcW w:w="80" w:type="dxa"/>
            <w:vAlign w:val="bottom"/>
          </w:tcPr>
          <w:p>
            <w:pPr>
              <w:spacing w:after="0"/>
              <w:rPr>
                <w:sz w:val="8"/>
                <w:szCs w:val="8"/>
                <w:color w:val="auto"/>
              </w:rPr>
            </w:pPr>
          </w:p>
        </w:tc>
        <w:tc>
          <w:tcPr>
            <w:tcW w:w="620" w:type="dxa"/>
            <w:vAlign w:val="bottom"/>
            <w:gridSpan w:val="3"/>
          </w:tcPr>
          <w:p>
            <w:pPr>
              <w:jc w:val="right"/>
              <w:ind w:right="160"/>
              <w:spacing w:after="0" w:line="96" w:lineRule="exact"/>
              <w:rPr>
                <w:sz w:val="20"/>
                <w:szCs w:val="20"/>
                <w:color w:val="auto"/>
              </w:rPr>
            </w:pPr>
            <w:r>
              <w:rPr>
                <w:rFonts w:ascii="Times New Roman" w:cs="Times New Roman" w:eastAsia="Times New Roman" w:hAnsi="Times New Roman"/>
                <w:sz w:val="11"/>
                <w:szCs w:val="11"/>
                <w:b w:val="1"/>
                <w:bCs w:val="1"/>
                <w:color w:val="auto"/>
                <w:w w:val="98"/>
              </w:rPr>
              <w:t>Medicare</w:t>
            </w:r>
          </w:p>
        </w:tc>
        <w:tc>
          <w:tcPr>
            <w:tcW w:w="100" w:type="dxa"/>
            <w:vAlign w:val="bottom"/>
          </w:tcPr>
          <w:p>
            <w:pPr>
              <w:spacing w:after="0"/>
              <w:rPr>
                <w:sz w:val="8"/>
                <w:szCs w:val="8"/>
                <w:color w:val="auto"/>
              </w:rPr>
            </w:pPr>
          </w:p>
        </w:tc>
        <w:tc>
          <w:tcPr>
            <w:tcW w:w="740" w:type="dxa"/>
            <w:vAlign w:val="bottom"/>
            <w:gridSpan w:val="2"/>
          </w:tcPr>
          <w:p>
            <w:pPr>
              <w:jc w:val="center"/>
              <w:ind w:right="240"/>
              <w:spacing w:after="0" w:line="96" w:lineRule="exact"/>
              <w:rPr>
                <w:sz w:val="20"/>
                <w:szCs w:val="20"/>
                <w:color w:val="auto"/>
              </w:rPr>
            </w:pPr>
            <w:r>
              <w:rPr>
                <w:rFonts w:ascii="Times New Roman" w:cs="Times New Roman" w:eastAsia="Times New Roman" w:hAnsi="Times New Roman"/>
                <w:sz w:val="11"/>
                <w:szCs w:val="11"/>
                <w:b w:val="1"/>
                <w:bCs w:val="1"/>
                <w:color w:val="auto"/>
                <w:w w:val="99"/>
              </w:rPr>
              <w:t>Private &amp;</w:t>
            </w: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131"/>
        </w:trPr>
        <w:tc>
          <w:tcPr>
            <w:tcW w:w="1740" w:type="dxa"/>
            <w:vAlign w:val="bottom"/>
          </w:tcPr>
          <w:p>
            <w:pPr>
              <w:spacing w:after="0"/>
              <w:rPr>
                <w:sz w:val="11"/>
                <w:szCs w:val="11"/>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insurance</w:t>
            </w:r>
          </w:p>
        </w:tc>
        <w:tc>
          <w:tcPr>
            <w:tcW w:w="220" w:type="dxa"/>
            <w:vAlign w:val="bottom"/>
          </w:tcPr>
          <w:p>
            <w:pPr>
              <w:spacing w:after="0"/>
              <w:rPr>
                <w:sz w:val="11"/>
                <w:szCs w:val="11"/>
                <w:color w:val="auto"/>
              </w:rPr>
            </w:pPr>
          </w:p>
        </w:tc>
        <w:tc>
          <w:tcPr>
            <w:tcW w:w="5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b w:val="1"/>
                <w:bCs w:val="1"/>
                <w:color w:val="auto"/>
              </w:rPr>
              <w:t>Medicaid</w:t>
            </w:r>
          </w:p>
        </w:tc>
        <w:tc>
          <w:tcPr>
            <w:tcW w:w="200" w:type="dxa"/>
            <w:vAlign w:val="bottom"/>
          </w:tcPr>
          <w:p>
            <w:pPr>
              <w:spacing w:after="0"/>
              <w:rPr>
                <w:sz w:val="11"/>
                <w:szCs w:val="11"/>
                <w:color w:val="auto"/>
              </w:rPr>
            </w:pPr>
          </w:p>
        </w:tc>
        <w:tc>
          <w:tcPr>
            <w:tcW w:w="5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1"/>
                <w:szCs w:val="11"/>
                <w:b w:val="1"/>
                <w:bCs w:val="1"/>
                <w:color w:val="auto"/>
              </w:rPr>
              <w:t>Part A</w:t>
            </w:r>
          </w:p>
        </w:tc>
        <w:tc>
          <w:tcPr>
            <w:tcW w:w="220" w:type="dxa"/>
            <w:vAlign w:val="bottom"/>
          </w:tcPr>
          <w:p>
            <w:pPr>
              <w:spacing w:after="0"/>
              <w:rPr>
                <w:sz w:val="11"/>
                <w:szCs w:val="11"/>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Part B</w:t>
            </w:r>
          </w:p>
        </w:tc>
        <w:tc>
          <w:tcPr>
            <w:tcW w:w="200" w:type="dxa"/>
            <w:vAlign w:val="bottom"/>
          </w:tcPr>
          <w:p>
            <w:pPr>
              <w:spacing w:after="0"/>
              <w:rPr>
                <w:sz w:val="11"/>
                <w:szCs w:val="11"/>
                <w:color w:val="auto"/>
              </w:rPr>
            </w:pPr>
          </w:p>
        </w:tc>
        <w:tc>
          <w:tcPr>
            <w:tcW w:w="60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Part C</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Part D</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other</w:t>
            </w:r>
          </w:p>
        </w:tc>
        <w:tc>
          <w:tcPr>
            <w:tcW w:w="240" w:type="dxa"/>
            <w:vAlign w:val="bottom"/>
          </w:tcPr>
          <w:p>
            <w:pPr>
              <w:spacing w:after="0"/>
              <w:rPr>
                <w:sz w:val="11"/>
                <w:szCs w:val="11"/>
                <w:color w:val="auto"/>
              </w:rPr>
            </w:pPr>
          </w:p>
        </w:tc>
        <w:tc>
          <w:tcPr>
            <w:tcW w:w="4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120" w:type="dxa"/>
            <w:vAlign w:val="bottom"/>
          </w:tcPr>
          <w:p>
            <w:pPr>
              <w:spacing w:after="0"/>
              <w:rPr>
                <w:sz w:val="11"/>
                <w:szCs w:val="11"/>
                <w:color w:val="auto"/>
              </w:rPr>
            </w:pPr>
          </w:p>
        </w:tc>
      </w:tr>
      <w:tr>
        <w:trPr>
          <w:trHeight w:val="109"/>
        </w:trPr>
        <w:tc>
          <w:tcPr>
            <w:tcW w:w="1740" w:type="dxa"/>
            <w:vAlign w:val="bottom"/>
            <w:tcBorders>
              <w:right w:val="single" w:sz="8" w:color="CFF0FC"/>
            </w:tcBorders>
            <w:shd w:val="clear" w:color="auto" w:fill="CFF0FC"/>
          </w:tcPr>
          <w:p>
            <w:pPr>
              <w:spacing w:after="0" w:line="109" w:lineRule="exact"/>
              <w:rPr>
                <w:sz w:val="20"/>
                <w:szCs w:val="20"/>
                <w:color w:val="auto"/>
              </w:rPr>
            </w:pPr>
            <w:r>
              <w:rPr>
                <w:rFonts w:ascii="Times New Roman" w:cs="Times New Roman" w:eastAsia="Times New Roman" w:hAnsi="Times New Roman"/>
                <w:sz w:val="11"/>
                <w:szCs w:val="11"/>
                <w:color w:val="auto"/>
              </w:rPr>
              <w:t>Specialty and Infusion Pharmacy</w:t>
            </w:r>
          </w:p>
        </w:tc>
        <w:tc>
          <w:tcPr>
            <w:tcW w:w="920" w:type="dxa"/>
            <w:vAlign w:val="bottom"/>
            <w:tcBorders>
              <w:right w:val="single" w:sz="8" w:color="CFF0FC"/>
            </w:tcBorders>
            <w:gridSpan w:val="2"/>
            <w:shd w:val="clear" w:color="auto" w:fill="CFF0FC"/>
          </w:tcPr>
          <w:p>
            <w:pPr>
              <w:jc w:val="right"/>
              <w:ind w:right="100"/>
              <w:spacing w:after="0" w:line="109" w:lineRule="exact"/>
              <w:rPr>
                <w:sz w:val="20"/>
                <w:szCs w:val="20"/>
                <w:color w:val="auto"/>
              </w:rPr>
            </w:pPr>
            <w:r>
              <w:rPr>
                <w:rFonts w:ascii="Times New Roman" w:cs="Times New Roman" w:eastAsia="Times New Roman" w:hAnsi="Times New Roman"/>
                <w:sz w:val="11"/>
                <w:szCs w:val="11"/>
                <w:color w:val="auto"/>
              </w:rPr>
              <w:t>21.2%</w:t>
            </w:r>
          </w:p>
        </w:tc>
        <w:tc>
          <w:tcPr>
            <w:tcW w:w="780" w:type="dxa"/>
            <w:vAlign w:val="bottom"/>
            <w:tcBorders>
              <w:right w:val="single" w:sz="8" w:color="CFF0FC"/>
            </w:tcBorders>
            <w:gridSpan w:val="2"/>
            <w:shd w:val="clear" w:color="auto" w:fill="CFF0FC"/>
          </w:tcPr>
          <w:p>
            <w:pPr>
              <w:jc w:val="right"/>
              <w:ind w:right="100"/>
              <w:spacing w:after="0" w:line="109" w:lineRule="exact"/>
              <w:rPr>
                <w:sz w:val="20"/>
                <w:szCs w:val="20"/>
                <w:color w:val="auto"/>
              </w:rPr>
            </w:pPr>
            <w:r>
              <w:rPr>
                <w:rFonts w:ascii="Times New Roman" w:cs="Times New Roman" w:eastAsia="Times New Roman" w:hAnsi="Times New Roman"/>
                <w:sz w:val="11"/>
                <w:szCs w:val="11"/>
                <w:color w:val="auto"/>
              </w:rPr>
              <w:t>6.5%</w:t>
            </w:r>
          </w:p>
        </w:tc>
        <w:tc>
          <w:tcPr>
            <w:tcW w:w="760" w:type="dxa"/>
            <w:vAlign w:val="bottom"/>
            <w:tcBorders>
              <w:right w:val="single" w:sz="8" w:color="CFF0FC"/>
            </w:tcBorders>
            <w:gridSpan w:val="2"/>
            <w:shd w:val="clear" w:color="auto" w:fill="CFF0FC"/>
          </w:tcPr>
          <w:p>
            <w:pPr>
              <w:jc w:val="right"/>
              <w:ind w:right="240"/>
              <w:spacing w:after="0" w:line="109"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right w:val="single" w:sz="8" w:color="CFF0FC"/>
            </w:tcBorders>
            <w:gridSpan w:val="2"/>
            <w:shd w:val="clear" w:color="auto" w:fill="CFF0FC"/>
          </w:tcPr>
          <w:p>
            <w:pPr>
              <w:jc w:val="right"/>
              <w:ind w:right="100"/>
              <w:spacing w:after="0" w:line="109" w:lineRule="exact"/>
              <w:rPr>
                <w:sz w:val="20"/>
                <w:szCs w:val="20"/>
                <w:color w:val="auto"/>
              </w:rPr>
            </w:pPr>
            <w:r>
              <w:rPr>
                <w:rFonts w:ascii="Times New Roman" w:cs="Times New Roman" w:eastAsia="Times New Roman" w:hAnsi="Times New Roman"/>
                <w:sz w:val="11"/>
                <w:szCs w:val="11"/>
                <w:color w:val="auto"/>
              </w:rPr>
              <w:t>0.6%</w:t>
            </w:r>
          </w:p>
        </w:tc>
        <w:tc>
          <w:tcPr>
            <w:tcW w:w="720" w:type="dxa"/>
            <w:vAlign w:val="bottom"/>
            <w:tcBorders>
              <w:right w:val="single" w:sz="8" w:color="CFF0FC"/>
            </w:tcBorders>
            <w:gridSpan w:val="3"/>
            <w:shd w:val="clear" w:color="auto" w:fill="CFF0FC"/>
          </w:tcPr>
          <w:p>
            <w:pPr>
              <w:jc w:val="right"/>
              <w:ind w:right="40"/>
              <w:spacing w:after="0" w:line="109" w:lineRule="exact"/>
              <w:rPr>
                <w:sz w:val="20"/>
                <w:szCs w:val="20"/>
                <w:color w:val="auto"/>
              </w:rPr>
            </w:pPr>
            <w:r>
              <w:rPr>
                <w:rFonts w:ascii="Times New Roman" w:cs="Times New Roman" w:eastAsia="Times New Roman" w:hAnsi="Times New Roman"/>
                <w:sz w:val="11"/>
                <w:szCs w:val="11"/>
                <w:color w:val="auto"/>
              </w:rPr>
              <w:t>17.5%</w:t>
            </w:r>
          </w:p>
        </w:tc>
        <w:tc>
          <w:tcPr>
            <w:tcW w:w="700" w:type="dxa"/>
            <w:vAlign w:val="bottom"/>
            <w:gridSpan w:val="4"/>
            <w:shd w:val="clear" w:color="auto" w:fill="CFF0FC"/>
          </w:tcPr>
          <w:p>
            <w:pPr>
              <w:jc w:val="right"/>
              <w:ind w:right="20"/>
              <w:spacing w:after="0" w:line="109" w:lineRule="exact"/>
              <w:rPr>
                <w:sz w:val="20"/>
                <w:szCs w:val="20"/>
                <w:color w:val="auto"/>
              </w:rPr>
            </w:pPr>
            <w:r>
              <w:rPr>
                <w:rFonts w:ascii="Times New Roman" w:cs="Times New Roman" w:eastAsia="Times New Roman" w:hAnsi="Times New Roman"/>
                <w:sz w:val="11"/>
                <w:szCs w:val="11"/>
                <w:color w:val="auto"/>
              </w:rPr>
              <w:t>23.1%</w:t>
            </w:r>
          </w:p>
        </w:tc>
        <w:tc>
          <w:tcPr>
            <w:tcW w:w="840" w:type="dxa"/>
            <w:vAlign w:val="bottom"/>
            <w:tcBorders>
              <w:right w:val="single" w:sz="8" w:color="CFF0FC"/>
            </w:tcBorders>
            <w:gridSpan w:val="3"/>
            <w:shd w:val="clear" w:color="auto" w:fill="CFF0FC"/>
          </w:tcPr>
          <w:p>
            <w:pPr>
              <w:ind w:left="500"/>
              <w:spacing w:after="0" w:line="109" w:lineRule="exact"/>
              <w:rPr>
                <w:sz w:val="20"/>
                <w:szCs w:val="20"/>
                <w:color w:val="auto"/>
              </w:rPr>
            </w:pPr>
            <w:r>
              <w:rPr>
                <w:rFonts w:ascii="Times New Roman" w:cs="Times New Roman" w:eastAsia="Times New Roman" w:hAnsi="Times New Roman"/>
                <w:sz w:val="11"/>
                <w:szCs w:val="11"/>
                <w:color w:val="auto"/>
              </w:rPr>
              <w:t>0.9%</w:t>
            </w:r>
          </w:p>
        </w:tc>
        <w:tc>
          <w:tcPr>
            <w:tcW w:w="540" w:type="dxa"/>
            <w:vAlign w:val="bottom"/>
            <w:gridSpan w:val="2"/>
            <w:shd w:val="clear" w:color="auto" w:fill="CFF0FC"/>
          </w:tcPr>
          <w:p>
            <w:pPr>
              <w:jc w:val="right"/>
              <w:ind w:right="40"/>
              <w:spacing w:after="0" w:line="109" w:lineRule="exact"/>
              <w:rPr>
                <w:sz w:val="20"/>
                <w:szCs w:val="20"/>
                <w:color w:val="auto"/>
              </w:rPr>
            </w:pPr>
            <w:r>
              <w:rPr>
                <w:rFonts w:ascii="Times New Roman" w:cs="Times New Roman" w:eastAsia="Times New Roman" w:hAnsi="Times New Roman"/>
                <w:sz w:val="11"/>
                <w:szCs w:val="11"/>
                <w:color w:val="auto"/>
              </w:rPr>
              <w:t>69.8%</w:t>
            </w:r>
          </w:p>
        </w:tc>
      </w:tr>
      <w:tr>
        <w:trPr>
          <w:trHeight w:val="118"/>
        </w:trPr>
        <w:tc>
          <w:tcPr>
            <w:tcW w:w="174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Home and Community Pharmacy</w:t>
            </w:r>
          </w:p>
        </w:tc>
        <w:tc>
          <w:tcPr>
            <w:tcW w:w="920" w:type="dxa"/>
            <w:vAlign w:val="bottom"/>
            <w:gridSpan w:val="2"/>
          </w:tcPr>
          <w:p>
            <w:pPr>
              <w:jc w:val="right"/>
              <w:ind w:right="100"/>
              <w:spacing w:after="0" w:line="119" w:lineRule="exact"/>
              <w:rPr>
                <w:sz w:val="20"/>
                <w:szCs w:val="20"/>
                <w:color w:val="auto"/>
              </w:rPr>
            </w:pPr>
            <w:r>
              <w:rPr>
                <w:rFonts w:ascii="Times New Roman" w:cs="Times New Roman" w:eastAsia="Times New Roman" w:hAnsi="Times New Roman"/>
                <w:sz w:val="11"/>
                <w:szCs w:val="11"/>
                <w:color w:val="auto"/>
              </w:rPr>
              <w:t>2.7%</w:t>
            </w:r>
          </w:p>
        </w:tc>
        <w:tc>
          <w:tcPr>
            <w:tcW w:w="780" w:type="dxa"/>
            <w:vAlign w:val="bottom"/>
            <w:gridSpan w:val="2"/>
          </w:tcPr>
          <w:p>
            <w:pPr>
              <w:jc w:val="right"/>
              <w:ind w:right="100"/>
              <w:spacing w:after="0" w:line="119" w:lineRule="exact"/>
              <w:rPr>
                <w:sz w:val="20"/>
                <w:szCs w:val="20"/>
                <w:color w:val="auto"/>
              </w:rPr>
            </w:pPr>
            <w:r>
              <w:rPr>
                <w:rFonts w:ascii="Times New Roman" w:cs="Times New Roman" w:eastAsia="Times New Roman" w:hAnsi="Times New Roman"/>
                <w:sz w:val="11"/>
                <w:szCs w:val="11"/>
                <w:color w:val="auto"/>
              </w:rPr>
              <w:t>2.0%</w:t>
            </w:r>
          </w:p>
        </w:tc>
        <w:tc>
          <w:tcPr>
            <w:tcW w:w="760" w:type="dxa"/>
            <w:vAlign w:val="bottom"/>
            <w:gridSpan w:val="2"/>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4.5%</w:t>
            </w:r>
          </w:p>
        </w:tc>
        <w:tc>
          <w:tcPr>
            <w:tcW w:w="740" w:type="dxa"/>
            <w:vAlign w:val="bottom"/>
            <w:gridSpan w:val="2"/>
          </w:tcPr>
          <w:p>
            <w:pPr>
              <w:jc w:val="right"/>
              <w:ind w:right="200"/>
              <w:spacing w:after="0" w:line="119"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3"/>
          </w:tcPr>
          <w:p>
            <w:pPr>
              <w:jc w:val="right"/>
              <w:ind w:right="40"/>
              <w:spacing w:after="0" w:line="119" w:lineRule="exact"/>
              <w:rPr>
                <w:sz w:val="20"/>
                <w:szCs w:val="20"/>
                <w:color w:val="auto"/>
              </w:rPr>
            </w:pPr>
            <w:r>
              <w:rPr>
                <w:rFonts w:ascii="Times New Roman" w:cs="Times New Roman" w:eastAsia="Times New Roman" w:hAnsi="Times New Roman"/>
                <w:sz w:val="11"/>
                <w:szCs w:val="11"/>
                <w:color w:val="auto"/>
              </w:rPr>
              <w:t>0.0%</w:t>
            </w:r>
          </w:p>
        </w:tc>
        <w:tc>
          <w:tcPr>
            <w:tcW w:w="700" w:type="dxa"/>
            <w:vAlign w:val="bottom"/>
            <w:gridSpan w:val="4"/>
          </w:tcPr>
          <w:p>
            <w:pPr>
              <w:jc w:val="right"/>
              <w:ind w:right="20"/>
              <w:spacing w:after="0" w:line="119" w:lineRule="exact"/>
              <w:rPr>
                <w:sz w:val="20"/>
                <w:szCs w:val="20"/>
                <w:color w:val="auto"/>
              </w:rPr>
            </w:pPr>
            <w:r>
              <w:rPr>
                <w:rFonts w:ascii="Times New Roman" w:cs="Times New Roman" w:eastAsia="Times New Roman" w:hAnsi="Times New Roman"/>
                <w:sz w:val="11"/>
                <w:szCs w:val="11"/>
                <w:color w:val="auto"/>
              </w:rPr>
              <w:t>8.7%</w:t>
            </w:r>
          </w:p>
        </w:tc>
        <w:tc>
          <w:tcPr>
            <w:tcW w:w="840" w:type="dxa"/>
            <w:vAlign w:val="bottom"/>
            <w:gridSpan w:val="3"/>
          </w:tcPr>
          <w:p>
            <w:pPr>
              <w:ind w:left="500"/>
              <w:spacing w:after="0" w:line="119" w:lineRule="exact"/>
              <w:rPr>
                <w:sz w:val="20"/>
                <w:szCs w:val="20"/>
                <w:color w:val="auto"/>
              </w:rPr>
            </w:pPr>
            <w:r>
              <w:rPr>
                <w:rFonts w:ascii="Times New Roman" w:cs="Times New Roman" w:eastAsia="Times New Roman" w:hAnsi="Times New Roman"/>
                <w:sz w:val="11"/>
                <w:szCs w:val="11"/>
                <w:color w:val="auto"/>
              </w:rPr>
              <w:t>0.9%</w:t>
            </w:r>
          </w:p>
        </w:tc>
        <w:tc>
          <w:tcPr>
            <w:tcW w:w="540" w:type="dxa"/>
            <w:vAlign w:val="bottom"/>
            <w:gridSpan w:val="2"/>
          </w:tcPr>
          <w:p>
            <w:pPr>
              <w:jc w:val="right"/>
              <w:ind w:right="40"/>
              <w:spacing w:after="0" w:line="119" w:lineRule="exact"/>
              <w:rPr>
                <w:sz w:val="20"/>
                <w:szCs w:val="20"/>
                <w:color w:val="auto"/>
              </w:rPr>
            </w:pPr>
            <w:r>
              <w:rPr>
                <w:rFonts w:ascii="Times New Roman" w:cs="Times New Roman" w:eastAsia="Times New Roman" w:hAnsi="Times New Roman"/>
                <w:sz w:val="11"/>
                <w:szCs w:val="11"/>
                <w:color w:val="auto"/>
              </w:rPr>
              <w:t>18.8%</w:t>
            </w:r>
          </w:p>
        </w:tc>
      </w:tr>
      <w:tr>
        <w:trPr>
          <w:trHeight w:val="20"/>
        </w:trPr>
        <w:tc>
          <w:tcPr>
            <w:tcW w:w="17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09"/>
        </w:trPr>
        <w:tc>
          <w:tcPr>
            <w:tcW w:w="1740" w:type="dxa"/>
            <w:vAlign w:val="bottom"/>
            <w:tcBorders>
              <w:right w:val="single" w:sz="8" w:color="CFF0FC"/>
            </w:tcBorders>
            <w:shd w:val="clear" w:color="auto" w:fill="CFF0FC"/>
          </w:tcPr>
          <w:p>
            <w:pPr>
              <w:ind w:left="140"/>
              <w:spacing w:after="0" w:line="109" w:lineRule="exact"/>
              <w:rPr>
                <w:sz w:val="20"/>
                <w:szCs w:val="20"/>
                <w:color w:val="auto"/>
              </w:rPr>
            </w:pPr>
            <w:r>
              <w:rPr>
                <w:rFonts w:ascii="Times New Roman" w:cs="Times New Roman" w:eastAsia="Times New Roman" w:hAnsi="Times New Roman"/>
                <w:sz w:val="11"/>
                <w:szCs w:val="11"/>
                <w:b w:val="1"/>
                <w:bCs w:val="1"/>
                <w:color w:val="auto"/>
              </w:rPr>
              <w:t>Pharmacy Solutions</w:t>
            </w:r>
          </w:p>
        </w:tc>
        <w:tc>
          <w:tcPr>
            <w:tcW w:w="920" w:type="dxa"/>
            <w:vAlign w:val="bottom"/>
            <w:tcBorders>
              <w:right w:val="single" w:sz="8" w:color="CFF0FC"/>
            </w:tcBorders>
            <w:gridSpan w:val="2"/>
            <w:shd w:val="clear" w:color="auto" w:fill="CFF0FC"/>
          </w:tcPr>
          <w:p>
            <w:pPr>
              <w:jc w:val="right"/>
              <w:ind w:right="80"/>
              <w:spacing w:after="0" w:line="109" w:lineRule="exact"/>
              <w:rPr>
                <w:sz w:val="20"/>
                <w:szCs w:val="20"/>
                <w:color w:val="auto"/>
              </w:rPr>
            </w:pPr>
            <w:r>
              <w:rPr>
                <w:rFonts w:ascii="Times New Roman" w:cs="Times New Roman" w:eastAsia="Times New Roman" w:hAnsi="Times New Roman"/>
                <w:sz w:val="11"/>
                <w:szCs w:val="11"/>
                <w:b w:val="1"/>
                <w:bCs w:val="1"/>
                <w:color w:val="auto"/>
              </w:rPr>
              <w:t>23.9%</w:t>
            </w:r>
          </w:p>
        </w:tc>
        <w:tc>
          <w:tcPr>
            <w:tcW w:w="780" w:type="dxa"/>
            <w:vAlign w:val="bottom"/>
            <w:tcBorders>
              <w:right w:val="single" w:sz="8" w:color="CFF0FC"/>
            </w:tcBorders>
            <w:gridSpan w:val="2"/>
            <w:shd w:val="clear" w:color="auto" w:fill="CFF0FC"/>
          </w:tcPr>
          <w:p>
            <w:pPr>
              <w:jc w:val="right"/>
              <w:ind w:right="80"/>
              <w:spacing w:after="0" w:line="109" w:lineRule="exact"/>
              <w:rPr>
                <w:sz w:val="20"/>
                <w:szCs w:val="20"/>
                <w:color w:val="auto"/>
              </w:rPr>
            </w:pPr>
            <w:r>
              <w:rPr>
                <w:rFonts w:ascii="Times New Roman" w:cs="Times New Roman" w:eastAsia="Times New Roman" w:hAnsi="Times New Roman"/>
                <w:sz w:val="11"/>
                <w:szCs w:val="11"/>
                <w:b w:val="1"/>
                <w:bCs w:val="1"/>
                <w:color w:val="auto"/>
              </w:rPr>
              <w:t>8.5%</w:t>
            </w:r>
          </w:p>
        </w:tc>
        <w:tc>
          <w:tcPr>
            <w:tcW w:w="760" w:type="dxa"/>
            <w:vAlign w:val="bottom"/>
            <w:tcBorders>
              <w:right w:val="single" w:sz="8" w:color="CFF0FC"/>
            </w:tcBorders>
            <w:gridSpan w:val="2"/>
            <w:shd w:val="clear" w:color="auto" w:fill="CFF0FC"/>
          </w:tcPr>
          <w:p>
            <w:pPr>
              <w:jc w:val="right"/>
              <w:ind w:right="120"/>
              <w:spacing w:after="0" w:line="109" w:lineRule="exact"/>
              <w:rPr>
                <w:sz w:val="20"/>
                <w:szCs w:val="20"/>
                <w:color w:val="auto"/>
              </w:rPr>
            </w:pPr>
            <w:r>
              <w:rPr>
                <w:rFonts w:ascii="Times New Roman" w:cs="Times New Roman" w:eastAsia="Times New Roman" w:hAnsi="Times New Roman"/>
                <w:sz w:val="11"/>
                <w:szCs w:val="11"/>
                <w:b w:val="1"/>
                <w:bCs w:val="1"/>
                <w:color w:val="auto"/>
              </w:rPr>
              <w:t>4.5%</w:t>
            </w:r>
          </w:p>
        </w:tc>
        <w:tc>
          <w:tcPr>
            <w:tcW w:w="740" w:type="dxa"/>
            <w:vAlign w:val="bottom"/>
            <w:tcBorders>
              <w:right w:val="single" w:sz="8" w:color="CFF0FC"/>
            </w:tcBorders>
            <w:gridSpan w:val="2"/>
            <w:shd w:val="clear" w:color="auto" w:fill="CFF0FC"/>
          </w:tcPr>
          <w:p>
            <w:pPr>
              <w:jc w:val="right"/>
              <w:ind w:right="80"/>
              <w:spacing w:after="0" w:line="109" w:lineRule="exact"/>
              <w:rPr>
                <w:sz w:val="20"/>
                <w:szCs w:val="20"/>
                <w:color w:val="auto"/>
              </w:rPr>
            </w:pPr>
            <w:r>
              <w:rPr>
                <w:rFonts w:ascii="Times New Roman" w:cs="Times New Roman" w:eastAsia="Times New Roman" w:hAnsi="Times New Roman"/>
                <w:sz w:val="11"/>
                <w:szCs w:val="11"/>
                <w:b w:val="1"/>
                <w:bCs w:val="1"/>
                <w:color w:val="auto"/>
              </w:rPr>
              <w:t>0.6%</w:t>
            </w:r>
          </w:p>
        </w:tc>
        <w:tc>
          <w:tcPr>
            <w:tcW w:w="720" w:type="dxa"/>
            <w:vAlign w:val="bottom"/>
            <w:tcBorders>
              <w:right w:val="single" w:sz="8" w:color="CFF0FC"/>
            </w:tcBorders>
            <w:gridSpan w:val="3"/>
            <w:shd w:val="clear" w:color="auto" w:fill="CFF0FC"/>
          </w:tcPr>
          <w:p>
            <w:pPr>
              <w:jc w:val="right"/>
              <w:ind w:right="20"/>
              <w:spacing w:after="0" w:line="109" w:lineRule="exact"/>
              <w:rPr>
                <w:sz w:val="20"/>
                <w:szCs w:val="20"/>
                <w:color w:val="auto"/>
              </w:rPr>
            </w:pPr>
            <w:r>
              <w:rPr>
                <w:rFonts w:ascii="Times New Roman" w:cs="Times New Roman" w:eastAsia="Times New Roman" w:hAnsi="Times New Roman"/>
                <w:sz w:val="11"/>
                <w:szCs w:val="11"/>
                <w:b w:val="1"/>
                <w:bCs w:val="1"/>
                <w:color w:val="auto"/>
              </w:rPr>
              <w:t>17.5%</w:t>
            </w:r>
          </w:p>
        </w:tc>
        <w:tc>
          <w:tcPr>
            <w:tcW w:w="700" w:type="dxa"/>
            <w:vAlign w:val="bottom"/>
            <w:gridSpan w:val="4"/>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b w:val="1"/>
                <w:bCs w:val="1"/>
                <w:color w:val="auto"/>
              </w:rPr>
              <w:t>31.8%</w:t>
            </w:r>
          </w:p>
        </w:tc>
        <w:tc>
          <w:tcPr>
            <w:tcW w:w="840" w:type="dxa"/>
            <w:vAlign w:val="bottom"/>
            <w:tcBorders>
              <w:right w:val="single" w:sz="8" w:color="CFF0FC"/>
            </w:tcBorders>
            <w:gridSpan w:val="3"/>
            <w:shd w:val="clear" w:color="auto" w:fill="CFF0FC"/>
          </w:tcPr>
          <w:p>
            <w:pPr>
              <w:ind w:left="500"/>
              <w:spacing w:after="0" w:line="109" w:lineRule="exact"/>
              <w:rPr>
                <w:sz w:val="20"/>
                <w:szCs w:val="20"/>
                <w:color w:val="auto"/>
              </w:rPr>
            </w:pPr>
            <w:r>
              <w:rPr>
                <w:rFonts w:ascii="Times New Roman" w:cs="Times New Roman" w:eastAsia="Times New Roman" w:hAnsi="Times New Roman"/>
                <w:sz w:val="11"/>
                <w:szCs w:val="11"/>
                <w:b w:val="1"/>
                <w:bCs w:val="1"/>
                <w:color w:val="auto"/>
              </w:rPr>
              <w:t>1.8%</w:t>
            </w:r>
          </w:p>
        </w:tc>
        <w:tc>
          <w:tcPr>
            <w:tcW w:w="540" w:type="dxa"/>
            <w:vAlign w:val="bottom"/>
            <w:gridSpan w:val="2"/>
            <w:shd w:val="clear" w:color="auto" w:fill="CFF0FC"/>
          </w:tcPr>
          <w:p>
            <w:pPr>
              <w:jc w:val="right"/>
              <w:ind w:right="20"/>
              <w:spacing w:after="0" w:line="109" w:lineRule="exact"/>
              <w:rPr>
                <w:sz w:val="20"/>
                <w:szCs w:val="20"/>
                <w:color w:val="auto"/>
              </w:rPr>
            </w:pPr>
            <w:r>
              <w:rPr>
                <w:rFonts w:ascii="Times New Roman" w:cs="Times New Roman" w:eastAsia="Times New Roman" w:hAnsi="Times New Roman"/>
                <w:sz w:val="11"/>
                <w:szCs w:val="11"/>
                <w:b w:val="1"/>
                <w:bCs w:val="1"/>
                <w:color w:val="auto"/>
              </w:rPr>
              <w:t>88.6%</w:t>
            </w:r>
          </w:p>
        </w:tc>
      </w:tr>
      <w:tr>
        <w:trPr>
          <w:trHeight w:val="118"/>
        </w:trPr>
        <w:tc>
          <w:tcPr>
            <w:tcW w:w="174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Home Health Care</w:t>
            </w:r>
          </w:p>
        </w:tc>
        <w:tc>
          <w:tcPr>
            <w:tcW w:w="920" w:type="dxa"/>
            <w:vAlign w:val="bottom"/>
            <w:gridSpan w:val="2"/>
          </w:tcPr>
          <w:p>
            <w:pPr>
              <w:jc w:val="right"/>
              <w:ind w:right="100"/>
              <w:spacing w:after="0" w:line="119" w:lineRule="exact"/>
              <w:rPr>
                <w:sz w:val="20"/>
                <w:szCs w:val="20"/>
                <w:color w:val="auto"/>
              </w:rPr>
            </w:pPr>
            <w:r>
              <w:rPr>
                <w:rFonts w:ascii="Times New Roman" w:cs="Times New Roman" w:eastAsia="Times New Roman" w:hAnsi="Times New Roman"/>
                <w:sz w:val="11"/>
                <w:szCs w:val="11"/>
                <w:color w:val="auto"/>
              </w:rPr>
              <w:t>0.2%</w:t>
            </w:r>
          </w:p>
        </w:tc>
        <w:tc>
          <w:tcPr>
            <w:tcW w:w="780" w:type="dxa"/>
            <w:vAlign w:val="bottom"/>
            <w:gridSpan w:val="2"/>
          </w:tcPr>
          <w:p>
            <w:pPr>
              <w:jc w:val="right"/>
              <w:ind w:right="100"/>
              <w:spacing w:after="0" w:line="119" w:lineRule="exact"/>
              <w:rPr>
                <w:sz w:val="20"/>
                <w:szCs w:val="20"/>
                <w:color w:val="auto"/>
              </w:rPr>
            </w:pPr>
            <w:r>
              <w:rPr>
                <w:rFonts w:ascii="Times New Roman" w:cs="Times New Roman" w:eastAsia="Times New Roman" w:hAnsi="Times New Roman"/>
                <w:sz w:val="11"/>
                <w:szCs w:val="11"/>
                <w:color w:val="auto"/>
              </w:rPr>
              <w:t>0.3%</w:t>
            </w:r>
          </w:p>
        </w:tc>
        <w:tc>
          <w:tcPr>
            <w:tcW w:w="760" w:type="dxa"/>
            <w:vAlign w:val="bottom"/>
            <w:gridSpan w:val="2"/>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4.0%</w:t>
            </w:r>
          </w:p>
        </w:tc>
        <w:tc>
          <w:tcPr>
            <w:tcW w:w="740" w:type="dxa"/>
            <w:vAlign w:val="bottom"/>
            <w:gridSpan w:val="2"/>
          </w:tcPr>
          <w:p>
            <w:pPr>
              <w:jc w:val="right"/>
              <w:ind w:right="100"/>
              <w:spacing w:after="0" w:line="119" w:lineRule="exact"/>
              <w:rPr>
                <w:sz w:val="20"/>
                <w:szCs w:val="20"/>
                <w:color w:val="auto"/>
              </w:rPr>
            </w:pPr>
            <w:r>
              <w:rPr>
                <w:rFonts w:ascii="Times New Roman" w:cs="Times New Roman" w:eastAsia="Times New Roman" w:hAnsi="Times New Roman"/>
                <w:sz w:val="11"/>
                <w:szCs w:val="11"/>
                <w:color w:val="auto"/>
              </w:rPr>
              <w:t>0.0%</w:t>
            </w:r>
          </w:p>
        </w:tc>
        <w:tc>
          <w:tcPr>
            <w:tcW w:w="720" w:type="dxa"/>
            <w:vAlign w:val="bottom"/>
            <w:gridSpan w:val="3"/>
          </w:tcPr>
          <w:p>
            <w:pPr>
              <w:jc w:val="right"/>
              <w:ind w:right="40"/>
              <w:spacing w:after="0" w:line="119" w:lineRule="exact"/>
              <w:rPr>
                <w:sz w:val="20"/>
                <w:szCs w:val="20"/>
                <w:color w:val="auto"/>
              </w:rPr>
            </w:pPr>
            <w:r>
              <w:rPr>
                <w:rFonts w:ascii="Times New Roman" w:cs="Times New Roman" w:eastAsia="Times New Roman" w:hAnsi="Times New Roman"/>
                <w:sz w:val="11"/>
                <w:szCs w:val="11"/>
                <w:color w:val="auto"/>
              </w:rPr>
              <w:t>1.0%</w:t>
            </w:r>
          </w:p>
        </w:tc>
        <w:tc>
          <w:tcPr>
            <w:tcW w:w="80" w:type="dxa"/>
            <w:vAlign w:val="bottom"/>
          </w:tcPr>
          <w:p>
            <w:pPr>
              <w:spacing w:after="0"/>
              <w:rPr>
                <w:sz w:val="10"/>
                <w:szCs w:val="10"/>
                <w:color w:val="auto"/>
              </w:rPr>
            </w:pPr>
          </w:p>
        </w:tc>
        <w:tc>
          <w:tcPr>
            <w:tcW w:w="620" w:type="dxa"/>
            <w:vAlign w:val="bottom"/>
            <w:gridSpan w:val="3"/>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3"/>
          </w:tcPr>
          <w:p>
            <w:pPr>
              <w:ind w:left="500"/>
              <w:spacing w:after="0" w:line="119" w:lineRule="exact"/>
              <w:rPr>
                <w:sz w:val="20"/>
                <w:szCs w:val="20"/>
                <w:color w:val="auto"/>
              </w:rPr>
            </w:pPr>
            <w:r>
              <w:rPr>
                <w:rFonts w:ascii="Times New Roman" w:cs="Times New Roman" w:eastAsia="Times New Roman" w:hAnsi="Times New Roman"/>
                <w:sz w:val="11"/>
                <w:szCs w:val="11"/>
                <w:color w:val="auto"/>
              </w:rPr>
              <w:t>0.3%</w:t>
            </w:r>
          </w:p>
        </w:tc>
        <w:tc>
          <w:tcPr>
            <w:tcW w:w="540" w:type="dxa"/>
            <w:vAlign w:val="bottom"/>
            <w:gridSpan w:val="2"/>
          </w:tcPr>
          <w:p>
            <w:pPr>
              <w:jc w:val="right"/>
              <w:ind w:right="40"/>
              <w:spacing w:after="0" w:line="119" w:lineRule="exact"/>
              <w:rPr>
                <w:sz w:val="20"/>
                <w:szCs w:val="20"/>
                <w:color w:val="auto"/>
              </w:rPr>
            </w:pPr>
            <w:r>
              <w:rPr>
                <w:rFonts w:ascii="Times New Roman" w:cs="Times New Roman" w:eastAsia="Times New Roman" w:hAnsi="Times New Roman"/>
                <w:sz w:val="11"/>
                <w:szCs w:val="11"/>
                <w:color w:val="auto"/>
              </w:rPr>
              <w:t>5.8%</w:t>
            </w:r>
          </w:p>
        </w:tc>
      </w:tr>
      <w:tr>
        <w:trPr>
          <w:trHeight w:val="118"/>
        </w:trPr>
        <w:tc>
          <w:tcPr>
            <w:tcW w:w="1740" w:type="dxa"/>
            <w:vAlign w:val="bottom"/>
            <w:tcBorders>
              <w:right w:val="single" w:sz="8" w:color="CFF0FC"/>
            </w:tcBorders>
            <w:shd w:val="clear" w:color="auto" w:fill="CFF0FC"/>
          </w:tcPr>
          <w:p>
            <w:pPr>
              <w:spacing w:after="0" w:line="119" w:lineRule="exact"/>
              <w:rPr>
                <w:sz w:val="20"/>
                <w:szCs w:val="20"/>
                <w:color w:val="auto"/>
              </w:rPr>
            </w:pPr>
            <w:r>
              <w:rPr>
                <w:rFonts w:ascii="Times New Roman" w:cs="Times New Roman" w:eastAsia="Times New Roman" w:hAnsi="Times New Roman"/>
                <w:sz w:val="11"/>
                <w:szCs w:val="11"/>
                <w:color w:val="auto"/>
              </w:rPr>
              <w:t>Rehab Care</w:t>
            </w:r>
          </w:p>
        </w:tc>
        <w:tc>
          <w:tcPr>
            <w:tcW w:w="920" w:type="dxa"/>
            <w:vAlign w:val="bottom"/>
            <w:tcBorders>
              <w:right w:val="single" w:sz="8" w:color="CFF0FC"/>
            </w:tcBorders>
            <w:gridSpan w:val="2"/>
            <w:shd w:val="clear" w:color="auto" w:fill="CFF0FC"/>
          </w:tcPr>
          <w:p>
            <w:pPr>
              <w:jc w:val="right"/>
              <w:ind w:right="100"/>
              <w:spacing w:after="0" w:line="119" w:lineRule="exact"/>
              <w:rPr>
                <w:sz w:val="20"/>
                <w:szCs w:val="20"/>
                <w:color w:val="auto"/>
              </w:rPr>
            </w:pPr>
            <w:r>
              <w:rPr>
                <w:rFonts w:ascii="Times New Roman" w:cs="Times New Roman" w:eastAsia="Times New Roman" w:hAnsi="Times New Roman"/>
                <w:sz w:val="11"/>
                <w:szCs w:val="11"/>
                <w:color w:val="auto"/>
              </w:rPr>
              <w:t>1.2%</w:t>
            </w:r>
          </w:p>
        </w:tc>
        <w:tc>
          <w:tcPr>
            <w:tcW w:w="780" w:type="dxa"/>
            <w:vAlign w:val="bottom"/>
            <w:tcBorders>
              <w:right w:val="single" w:sz="8" w:color="CFF0FC"/>
            </w:tcBorders>
            <w:gridSpan w:val="2"/>
            <w:shd w:val="clear" w:color="auto" w:fill="CFF0FC"/>
          </w:tcPr>
          <w:p>
            <w:pPr>
              <w:jc w:val="right"/>
              <w:ind w:right="100"/>
              <w:spacing w:after="0" w:line="119" w:lineRule="exact"/>
              <w:rPr>
                <w:sz w:val="20"/>
                <w:szCs w:val="20"/>
                <w:color w:val="auto"/>
              </w:rPr>
            </w:pPr>
            <w:r>
              <w:rPr>
                <w:rFonts w:ascii="Times New Roman" w:cs="Times New Roman" w:eastAsia="Times New Roman" w:hAnsi="Times New Roman"/>
                <w:sz w:val="11"/>
                <w:szCs w:val="11"/>
                <w:color w:val="auto"/>
              </w:rPr>
              <w:t>0.7%</w:t>
            </w:r>
          </w:p>
        </w:tc>
        <w:tc>
          <w:tcPr>
            <w:tcW w:w="760" w:type="dxa"/>
            <w:vAlign w:val="bottom"/>
            <w:tcBorders>
              <w:right w:val="single" w:sz="8" w:color="CFF0FC"/>
            </w:tcBorders>
            <w:gridSpan w:val="2"/>
            <w:shd w:val="clear" w:color="auto" w:fill="CFF0FC"/>
          </w:tcPr>
          <w:p>
            <w:pPr>
              <w:jc w:val="right"/>
              <w:ind w:right="240"/>
              <w:spacing w:after="0" w:line="119"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right w:val="single" w:sz="8" w:color="CFF0FC"/>
            </w:tcBorders>
            <w:gridSpan w:val="2"/>
            <w:shd w:val="clear" w:color="auto" w:fill="CFF0FC"/>
          </w:tcPr>
          <w:p>
            <w:pPr>
              <w:jc w:val="right"/>
              <w:ind w:right="100"/>
              <w:spacing w:after="0" w:line="119" w:lineRule="exact"/>
              <w:rPr>
                <w:sz w:val="20"/>
                <w:szCs w:val="20"/>
                <w:color w:val="auto"/>
              </w:rPr>
            </w:pPr>
            <w:r>
              <w:rPr>
                <w:rFonts w:ascii="Times New Roman" w:cs="Times New Roman" w:eastAsia="Times New Roman" w:hAnsi="Times New Roman"/>
                <w:sz w:val="11"/>
                <w:szCs w:val="11"/>
                <w:color w:val="auto"/>
              </w:rPr>
              <w:t>0.0%</w:t>
            </w:r>
          </w:p>
        </w:tc>
        <w:tc>
          <w:tcPr>
            <w:tcW w:w="720" w:type="dxa"/>
            <w:vAlign w:val="bottom"/>
            <w:tcBorders>
              <w:right w:val="single" w:sz="8" w:color="CFF0FC"/>
            </w:tcBorders>
            <w:gridSpan w:val="3"/>
            <w:shd w:val="clear" w:color="auto" w:fill="CFF0FC"/>
          </w:tcPr>
          <w:p>
            <w:pPr>
              <w:jc w:val="right"/>
              <w:ind w:right="40"/>
              <w:spacing w:after="0" w:line="119" w:lineRule="exact"/>
              <w:rPr>
                <w:sz w:val="20"/>
                <w:szCs w:val="20"/>
                <w:color w:val="auto"/>
              </w:rPr>
            </w:pPr>
            <w:r>
              <w:rPr>
                <w:rFonts w:ascii="Times New Roman" w:cs="Times New Roman" w:eastAsia="Times New Roman" w:hAnsi="Times New Roman"/>
                <w:sz w:val="11"/>
                <w:szCs w:val="11"/>
                <w:color w:val="auto"/>
              </w:rPr>
              <w:t>0.0%</w:t>
            </w:r>
          </w:p>
        </w:tc>
        <w:tc>
          <w:tcPr>
            <w:tcW w:w="80" w:type="dxa"/>
            <w:vAlign w:val="bottom"/>
            <w:shd w:val="clear" w:color="auto" w:fill="CFF0FC"/>
          </w:tcPr>
          <w:p>
            <w:pPr>
              <w:spacing w:after="0"/>
              <w:rPr>
                <w:sz w:val="10"/>
                <w:szCs w:val="10"/>
                <w:color w:val="auto"/>
              </w:rPr>
            </w:pPr>
          </w:p>
        </w:tc>
        <w:tc>
          <w:tcPr>
            <w:tcW w:w="620" w:type="dxa"/>
            <w:vAlign w:val="bottom"/>
            <w:gridSpan w:val="3"/>
            <w:shd w:val="clear" w:color="auto" w:fill="CFF0FC"/>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right w:val="single" w:sz="8" w:color="CFF0FC"/>
            </w:tcBorders>
            <w:gridSpan w:val="3"/>
            <w:shd w:val="clear" w:color="auto" w:fill="CFF0FC"/>
          </w:tcPr>
          <w:p>
            <w:pPr>
              <w:ind w:left="500"/>
              <w:spacing w:after="0" w:line="119" w:lineRule="exact"/>
              <w:rPr>
                <w:sz w:val="20"/>
                <w:szCs w:val="20"/>
                <w:color w:val="auto"/>
              </w:rPr>
            </w:pPr>
            <w:r>
              <w:rPr>
                <w:rFonts w:ascii="Times New Roman" w:cs="Times New Roman" w:eastAsia="Times New Roman" w:hAnsi="Times New Roman"/>
                <w:sz w:val="11"/>
                <w:szCs w:val="11"/>
                <w:color w:val="auto"/>
              </w:rPr>
              <w:t>0.5%</w:t>
            </w:r>
          </w:p>
        </w:tc>
        <w:tc>
          <w:tcPr>
            <w:tcW w:w="540" w:type="dxa"/>
            <w:vAlign w:val="bottom"/>
            <w:gridSpan w:val="2"/>
            <w:shd w:val="clear" w:color="auto" w:fill="CFF0FC"/>
          </w:tcPr>
          <w:p>
            <w:pPr>
              <w:jc w:val="right"/>
              <w:ind w:right="40"/>
              <w:spacing w:after="0" w:line="119" w:lineRule="exact"/>
              <w:rPr>
                <w:sz w:val="20"/>
                <w:szCs w:val="20"/>
                <w:color w:val="auto"/>
              </w:rPr>
            </w:pPr>
            <w:r>
              <w:rPr>
                <w:rFonts w:ascii="Times New Roman" w:cs="Times New Roman" w:eastAsia="Times New Roman" w:hAnsi="Times New Roman"/>
                <w:sz w:val="11"/>
                <w:szCs w:val="11"/>
                <w:color w:val="auto"/>
              </w:rPr>
              <w:t>2.4%</w:t>
            </w:r>
          </w:p>
        </w:tc>
      </w:tr>
      <w:tr>
        <w:trPr>
          <w:trHeight w:val="118"/>
        </w:trPr>
        <w:tc>
          <w:tcPr>
            <w:tcW w:w="174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Personal Care</w:t>
            </w:r>
          </w:p>
        </w:tc>
        <w:tc>
          <w:tcPr>
            <w:tcW w:w="920" w:type="dxa"/>
            <w:vAlign w:val="bottom"/>
            <w:gridSpan w:val="2"/>
          </w:tcPr>
          <w:p>
            <w:pPr>
              <w:jc w:val="right"/>
              <w:ind w:right="100"/>
              <w:spacing w:after="0" w:line="119" w:lineRule="exact"/>
              <w:rPr>
                <w:sz w:val="20"/>
                <w:szCs w:val="20"/>
                <w:color w:val="auto"/>
              </w:rPr>
            </w:pPr>
            <w:r>
              <w:rPr>
                <w:rFonts w:ascii="Times New Roman" w:cs="Times New Roman" w:eastAsia="Times New Roman" w:hAnsi="Times New Roman"/>
                <w:sz w:val="11"/>
                <w:szCs w:val="11"/>
                <w:color w:val="auto"/>
              </w:rPr>
              <w:t>0.1%</w:t>
            </w:r>
          </w:p>
        </w:tc>
        <w:tc>
          <w:tcPr>
            <w:tcW w:w="780" w:type="dxa"/>
            <w:vAlign w:val="bottom"/>
            <w:gridSpan w:val="2"/>
          </w:tcPr>
          <w:p>
            <w:pPr>
              <w:jc w:val="right"/>
              <w:ind w:right="100"/>
              <w:spacing w:after="0" w:line="119" w:lineRule="exact"/>
              <w:rPr>
                <w:sz w:val="20"/>
                <w:szCs w:val="20"/>
                <w:color w:val="auto"/>
              </w:rPr>
            </w:pPr>
            <w:r>
              <w:rPr>
                <w:rFonts w:ascii="Times New Roman" w:cs="Times New Roman" w:eastAsia="Times New Roman" w:hAnsi="Times New Roman"/>
                <w:sz w:val="11"/>
                <w:szCs w:val="11"/>
                <w:color w:val="auto"/>
              </w:rPr>
              <w:t>2.2%</w:t>
            </w:r>
          </w:p>
        </w:tc>
        <w:tc>
          <w:tcPr>
            <w:tcW w:w="760" w:type="dxa"/>
            <w:vAlign w:val="bottom"/>
            <w:gridSpan w:val="2"/>
          </w:tcPr>
          <w:p>
            <w:pPr>
              <w:jc w:val="right"/>
              <w:ind w:right="240"/>
              <w:spacing w:after="0" w:line="119"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200"/>
              <w:spacing w:after="0" w:line="119"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3"/>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620" w:type="dxa"/>
            <w:vAlign w:val="bottom"/>
            <w:gridSpan w:val="3"/>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3"/>
          </w:tcPr>
          <w:p>
            <w:pPr>
              <w:ind w:left="500"/>
              <w:spacing w:after="0" w:line="119" w:lineRule="exact"/>
              <w:rPr>
                <w:sz w:val="20"/>
                <w:szCs w:val="20"/>
                <w:color w:val="auto"/>
              </w:rPr>
            </w:pPr>
            <w:r>
              <w:rPr>
                <w:rFonts w:ascii="Times New Roman" w:cs="Times New Roman" w:eastAsia="Times New Roman" w:hAnsi="Times New Roman"/>
                <w:sz w:val="11"/>
                <w:szCs w:val="11"/>
                <w:color w:val="auto"/>
              </w:rPr>
              <w:t>0.9%</w:t>
            </w:r>
          </w:p>
        </w:tc>
        <w:tc>
          <w:tcPr>
            <w:tcW w:w="540" w:type="dxa"/>
            <w:vAlign w:val="bottom"/>
            <w:gridSpan w:val="2"/>
          </w:tcPr>
          <w:p>
            <w:pPr>
              <w:jc w:val="right"/>
              <w:ind w:right="40"/>
              <w:spacing w:after="0" w:line="119" w:lineRule="exact"/>
              <w:rPr>
                <w:sz w:val="20"/>
                <w:szCs w:val="20"/>
                <w:color w:val="auto"/>
              </w:rPr>
            </w:pPr>
            <w:r>
              <w:rPr>
                <w:rFonts w:ascii="Times New Roman" w:cs="Times New Roman" w:eastAsia="Times New Roman" w:hAnsi="Times New Roman"/>
                <w:sz w:val="11"/>
                <w:szCs w:val="11"/>
                <w:color w:val="auto"/>
              </w:rPr>
              <w:t>3.2%</w:t>
            </w:r>
          </w:p>
        </w:tc>
      </w:tr>
      <w:tr>
        <w:trPr>
          <w:trHeight w:val="20"/>
        </w:trPr>
        <w:tc>
          <w:tcPr>
            <w:tcW w:w="17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09"/>
        </w:trPr>
        <w:tc>
          <w:tcPr>
            <w:tcW w:w="1740" w:type="dxa"/>
            <w:vAlign w:val="bottom"/>
            <w:tcBorders>
              <w:right w:val="single" w:sz="8" w:color="CFF0FC"/>
            </w:tcBorders>
            <w:shd w:val="clear" w:color="auto" w:fill="CFF0FC"/>
          </w:tcPr>
          <w:p>
            <w:pPr>
              <w:ind w:left="140"/>
              <w:spacing w:after="0" w:line="109" w:lineRule="exact"/>
              <w:rPr>
                <w:sz w:val="20"/>
                <w:szCs w:val="20"/>
                <w:color w:val="auto"/>
              </w:rPr>
            </w:pPr>
            <w:r>
              <w:rPr>
                <w:rFonts w:ascii="Times New Roman" w:cs="Times New Roman" w:eastAsia="Times New Roman" w:hAnsi="Times New Roman"/>
                <w:sz w:val="11"/>
                <w:szCs w:val="11"/>
                <w:b w:val="1"/>
                <w:bCs w:val="1"/>
                <w:color w:val="auto"/>
              </w:rPr>
              <w:t>Provider Services</w:t>
            </w:r>
          </w:p>
        </w:tc>
        <w:tc>
          <w:tcPr>
            <w:tcW w:w="920" w:type="dxa"/>
            <w:vAlign w:val="bottom"/>
            <w:tcBorders>
              <w:right w:val="single" w:sz="8" w:color="CFF0FC"/>
            </w:tcBorders>
            <w:gridSpan w:val="2"/>
            <w:shd w:val="clear" w:color="auto" w:fill="CFF0FC"/>
          </w:tcPr>
          <w:p>
            <w:pPr>
              <w:jc w:val="right"/>
              <w:ind w:right="80"/>
              <w:spacing w:after="0" w:line="109" w:lineRule="exact"/>
              <w:rPr>
                <w:sz w:val="20"/>
                <w:szCs w:val="20"/>
                <w:color w:val="auto"/>
              </w:rPr>
            </w:pPr>
            <w:r>
              <w:rPr>
                <w:rFonts w:ascii="Times New Roman" w:cs="Times New Roman" w:eastAsia="Times New Roman" w:hAnsi="Times New Roman"/>
                <w:sz w:val="11"/>
                <w:szCs w:val="11"/>
                <w:b w:val="1"/>
                <w:bCs w:val="1"/>
                <w:color w:val="auto"/>
              </w:rPr>
              <w:t>1.5%</w:t>
            </w:r>
          </w:p>
        </w:tc>
        <w:tc>
          <w:tcPr>
            <w:tcW w:w="780" w:type="dxa"/>
            <w:vAlign w:val="bottom"/>
            <w:tcBorders>
              <w:right w:val="single" w:sz="8" w:color="CFF0FC"/>
            </w:tcBorders>
            <w:gridSpan w:val="2"/>
            <w:shd w:val="clear" w:color="auto" w:fill="CFF0FC"/>
          </w:tcPr>
          <w:p>
            <w:pPr>
              <w:jc w:val="right"/>
              <w:ind w:right="80"/>
              <w:spacing w:after="0" w:line="109" w:lineRule="exact"/>
              <w:rPr>
                <w:sz w:val="20"/>
                <w:szCs w:val="20"/>
                <w:color w:val="auto"/>
              </w:rPr>
            </w:pPr>
            <w:r>
              <w:rPr>
                <w:rFonts w:ascii="Times New Roman" w:cs="Times New Roman" w:eastAsia="Times New Roman" w:hAnsi="Times New Roman"/>
                <w:sz w:val="11"/>
                <w:szCs w:val="11"/>
                <w:b w:val="1"/>
                <w:bCs w:val="1"/>
                <w:color w:val="auto"/>
              </w:rPr>
              <w:t>3.2%</w:t>
            </w:r>
          </w:p>
        </w:tc>
        <w:tc>
          <w:tcPr>
            <w:tcW w:w="760" w:type="dxa"/>
            <w:vAlign w:val="bottom"/>
            <w:tcBorders>
              <w:right w:val="single" w:sz="8" w:color="CFF0FC"/>
            </w:tcBorders>
            <w:gridSpan w:val="2"/>
            <w:shd w:val="clear" w:color="auto" w:fill="CFF0FC"/>
          </w:tcPr>
          <w:p>
            <w:pPr>
              <w:jc w:val="right"/>
              <w:ind w:right="120"/>
              <w:spacing w:after="0" w:line="109" w:lineRule="exact"/>
              <w:rPr>
                <w:sz w:val="20"/>
                <w:szCs w:val="20"/>
                <w:color w:val="auto"/>
              </w:rPr>
            </w:pPr>
            <w:r>
              <w:rPr>
                <w:rFonts w:ascii="Times New Roman" w:cs="Times New Roman" w:eastAsia="Times New Roman" w:hAnsi="Times New Roman"/>
                <w:sz w:val="11"/>
                <w:szCs w:val="11"/>
                <w:b w:val="1"/>
                <w:bCs w:val="1"/>
                <w:color w:val="auto"/>
              </w:rPr>
              <w:t>4.0%</w:t>
            </w:r>
          </w:p>
        </w:tc>
        <w:tc>
          <w:tcPr>
            <w:tcW w:w="740" w:type="dxa"/>
            <w:vAlign w:val="bottom"/>
            <w:tcBorders>
              <w:right w:val="single" w:sz="8" w:color="CFF0FC"/>
            </w:tcBorders>
            <w:gridSpan w:val="2"/>
            <w:shd w:val="clear" w:color="auto" w:fill="CFF0FC"/>
          </w:tcPr>
          <w:p>
            <w:pPr>
              <w:jc w:val="right"/>
              <w:ind w:right="80"/>
              <w:spacing w:after="0" w:line="109" w:lineRule="exact"/>
              <w:rPr>
                <w:sz w:val="20"/>
                <w:szCs w:val="20"/>
                <w:color w:val="auto"/>
              </w:rPr>
            </w:pPr>
            <w:r>
              <w:rPr>
                <w:rFonts w:ascii="Times New Roman" w:cs="Times New Roman" w:eastAsia="Times New Roman" w:hAnsi="Times New Roman"/>
                <w:sz w:val="11"/>
                <w:szCs w:val="11"/>
                <w:b w:val="1"/>
                <w:bCs w:val="1"/>
                <w:color w:val="auto"/>
              </w:rPr>
              <w:t>0.0%</w:t>
            </w:r>
          </w:p>
        </w:tc>
        <w:tc>
          <w:tcPr>
            <w:tcW w:w="720" w:type="dxa"/>
            <w:vAlign w:val="bottom"/>
            <w:tcBorders>
              <w:right w:val="single" w:sz="8" w:color="CFF0FC"/>
            </w:tcBorders>
            <w:gridSpan w:val="3"/>
            <w:shd w:val="clear" w:color="auto" w:fill="CFF0FC"/>
          </w:tcPr>
          <w:p>
            <w:pPr>
              <w:jc w:val="right"/>
              <w:ind w:right="20"/>
              <w:spacing w:after="0" w:line="109" w:lineRule="exact"/>
              <w:rPr>
                <w:sz w:val="20"/>
                <w:szCs w:val="20"/>
                <w:color w:val="auto"/>
              </w:rPr>
            </w:pPr>
            <w:r>
              <w:rPr>
                <w:rFonts w:ascii="Times New Roman" w:cs="Times New Roman" w:eastAsia="Times New Roman" w:hAnsi="Times New Roman"/>
                <w:sz w:val="11"/>
                <w:szCs w:val="11"/>
                <w:b w:val="1"/>
                <w:bCs w:val="1"/>
                <w:color w:val="auto"/>
              </w:rPr>
              <w:t>1.0%</w:t>
            </w:r>
          </w:p>
        </w:tc>
        <w:tc>
          <w:tcPr>
            <w:tcW w:w="80" w:type="dxa"/>
            <w:vAlign w:val="bottom"/>
            <w:shd w:val="clear" w:color="auto" w:fill="CFF0FC"/>
          </w:tcPr>
          <w:p>
            <w:pPr>
              <w:spacing w:after="0"/>
              <w:rPr>
                <w:sz w:val="9"/>
                <w:szCs w:val="9"/>
                <w:color w:val="auto"/>
              </w:rPr>
            </w:pPr>
          </w:p>
        </w:tc>
        <w:tc>
          <w:tcPr>
            <w:tcW w:w="620" w:type="dxa"/>
            <w:vAlign w:val="bottom"/>
            <w:gridSpan w:val="3"/>
            <w:shd w:val="clear" w:color="auto" w:fill="CFF0FC"/>
          </w:tcPr>
          <w:p>
            <w:pPr>
              <w:jc w:val="right"/>
              <w:ind w:right="120"/>
              <w:spacing w:after="0" w:line="109" w:lineRule="exact"/>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right w:val="single" w:sz="8" w:color="CFF0FC"/>
            </w:tcBorders>
            <w:gridSpan w:val="3"/>
            <w:shd w:val="clear" w:color="auto" w:fill="CFF0FC"/>
          </w:tcPr>
          <w:p>
            <w:pPr>
              <w:ind w:left="500"/>
              <w:spacing w:after="0" w:line="109" w:lineRule="exact"/>
              <w:rPr>
                <w:sz w:val="20"/>
                <w:szCs w:val="20"/>
                <w:color w:val="auto"/>
              </w:rPr>
            </w:pPr>
            <w:r>
              <w:rPr>
                <w:rFonts w:ascii="Times New Roman" w:cs="Times New Roman" w:eastAsia="Times New Roman" w:hAnsi="Times New Roman"/>
                <w:sz w:val="11"/>
                <w:szCs w:val="11"/>
                <w:b w:val="1"/>
                <w:bCs w:val="1"/>
                <w:color w:val="auto"/>
              </w:rPr>
              <w:t>1.7%</w:t>
            </w:r>
          </w:p>
        </w:tc>
        <w:tc>
          <w:tcPr>
            <w:tcW w:w="540" w:type="dxa"/>
            <w:vAlign w:val="bottom"/>
            <w:gridSpan w:val="2"/>
            <w:shd w:val="clear" w:color="auto" w:fill="CFF0FC"/>
          </w:tcPr>
          <w:p>
            <w:pPr>
              <w:jc w:val="right"/>
              <w:ind w:right="20"/>
              <w:spacing w:after="0" w:line="109" w:lineRule="exact"/>
              <w:rPr>
                <w:sz w:val="20"/>
                <w:szCs w:val="20"/>
                <w:color w:val="auto"/>
              </w:rPr>
            </w:pPr>
            <w:r>
              <w:rPr>
                <w:rFonts w:ascii="Times New Roman" w:cs="Times New Roman" w:eastAsia="Times New Roman" w:hAnsi="Times New Roman"/>
                <w:sz w:val="11"/>
                <w:szCs w:val="11"/>
                <w:b w:val="1"/>
                <w:bCs w:val="1"/>
                <w:color w:val="auto"/>
              </w:rPr>
              <w:t>11.4%</w:t>
            </w:r>
          </w:p>
        </w:tc>
      </w:tr>
      <w:tr>
        <w:trPr>
          <w:trHeight w:val="20"/>
        </w:trPr>
        <w:tc>
          <w:tcPr>
            <w:tcW w:w="1740" w:type="dxa"/>
            <w:vAlign w:val="bottom"/>
            <w:tcBorders>
              <w:right w:val="single" w:sz="8" w:color="CFF0FC"/>
            </w:tcBorders>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Borders>
              <w:left w:val="single" w:sz="8" w:color="auto"/>
              <w:right w:val="single" w:sz="8" w:color="CFF0FC"/>
            </w:tcBorders>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Borders>
              <w:left w:val="single" w:sz="8" w:color="auto"/>
              <w:right w:val="single" w:sz="8" w:color="CFF0FC"/>
            </w:tcBorders>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Borders>
              <w:left w:val="single" w:sz="8" w:color="CFF0FC"/>
              <w:right w:val="single" w:sz="8" w:color="auto"/>
            </w:tcBorders>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Borders>
              <w:left w:val="single" w:sz="8" w:color="auto"/>
              <w:right w:val="single" w:sz="8" w:color="CFF0FC"/>
            </w:tcBorders>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Borders>
              <w:right w:val="single" w:sz="8" w:color="CFF0FC"/>
            </w:tcBorders>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Borders>
              <w:left w:val="single" w:sz="8" w:color="auto"/>
              <w:right w:val="single" w:sz="8" w:color="CFF0FC"/>
            </w:tcBorders>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09"/>
        </w:trPr>
        <w:tc>
          <w:tcPr>
            <w:tcW w:w="1740" w:type="dxa"/>
            <w:vAlign w:val="bottom"/>
          </w:tcPr>
          <w:p>
            <w:pPr>
              <w:ind w:left="280"/>
              <w:spacing w:after="0" w:line="109" w:lineRule="exact"/>
              <w:rPr>
                <w:sz w:val="20"/>
                <w:szCs w:val="20"/>
                <w:color w:val="auto"/>
              </w:rPr>
            </w:pPr>
            <w:r>
              <w:rPr>
                <w:rFonts w:ascii="Times New Roman" w:cs="Times New Roman" w:eastAsia="Times New Roman" w:hAnsi="Times New Roman"/>
                <w:sz w:val="11"/>
                <w:szCs w:val="11"/>
                <w:b w:val="1"/>
                <w:bCs w:val="1"/>
                <w:color w:val="auto"/>
              </w:rPr>
              <w:t>Consolidated BrightSpring</w:t>
            </w:r>
          </w:p>
        </w:tc>
        <w:tc>
          <w:tcPr>
            <w:tcW w:w="920" w:type="dxa"/>
            <w:vAlign w:val="bottom"/>
            <w:gridSpan w:val="2"/>
          </w:tcPr>
          <w:p>
            <w:pPr>
              <w:jc w:val="right"/>
              <w:ind w:right="80"/>
              <w:spacing w:after="0" w:line="109" w:lineRule="exact"/>
              <w:rPr>
                <w:sz w:val="20"/>
                <w:szCs w:val="20"/>
                <w:color w:val="auto"/>
              </w:rPr>
            </w:pPr>
            <w:r>
              <w:rPr>
                <w:rFonts w:ascii="Times New Roman" w:cs="Times New Roman" w:eastAsia="Times New Roman" w:hAnsi="Times New Roman"/>
                <w:sz w:val="11"/>
                <w:szCs w:val="11"/>
                <w:b w:val="1"/>
                <w:bCs w:val="1"/>
                <w:color w:val="auto"/>
              </w:rPr>
              <w:t>25.4%</w:t>
            </w:r>
          </w:p>
        </w:tc>
        <w:tc>
          <w:tcPr>
            <w:tcW w:w="780" w:type="dxa"/>
            <w:vAlign w:val="bottom"/>
            <w:gridSpan w:val="2"/>
          </w:tcPr>
          <w:p>
            <w:pPr>
              <w:jc w:val="right"/>
              <w:ind w:right="80"/>
              <w:spacing w:after="0" w:line="109" w:lineRule="exact"/>
              <w:rPr>
                <w:sz w:val="20"/>
                <w:szCs w:val="20"/>
                <w:color w:val="auto"/>
              </w:rPr>
            </w:pPr>
            <w:r>
              <w:rPr>
                <w:rFonts w:ascii="Times New Roman" w:cs="Times New Roman" w:eastAsia="Times New Roman" w:hAnsi="Times New Roman"/>
                <w:sz w:val="11"/>
                <w:szCs w:val="11"/>
                <w:b w:val="1"/>
                <w:bCs w:val="1"/>
                <w:color w:val="auto"/>
              </w:rPr>
              <w:t>11.7%</w:t>
            </w:r>
          </w:p>
        </w:tc>
        <w:tc>
          <w:tcPr>
            <w:tcW w:w="760" w:type="dxa"/>
            <w:vAlign w:val="bottom"/>
            <w:gridSpan w:val="2"/>
          </w:tcPr>
          <w:p>
            <w:pPr>
              <w:jc w:val="right"/>
              <w:ind w:right="120"/>
              <w:spacing w:after="0" w:line="109" w:lineRule="exact"/>
              <w:rPr>
                <w:sz w:val="20"/>
                <w:szCs w:val="20"/>
                <w:color w:val="auto"/>
              </w:rPr>
            </w:pPr>
            <w:r>
              <w:rPr>
                <w:rFonts w:ascii="Times New Roman" w:cs="Times New Roman" w:eastAsia="Times New Roman" w:hAnsi="Times New Roman"/>
                <w:sz w:val="11"/>
                <w:szCs w:val="11"/>
                <w:b w:val="1"/>
                <w:bCs w:val="1"/>
                <w:color w:val="auto"/>
              </w:rPr>
              <w:t>8.5%</w:t>
            </w:r>
          </w:p>
        </w:tc>
        <w:tc>
          <w:tcPr>
            <w:tcW w:w="740" w:type="dxa"/>
            <w:vAlign w:val="bottom"/>
            <w:gridSpan w:val="2"/>
          </w:tcPr>
          <w:p>
            <w:pPr>
              <w:jc w:val="right"/>
              <w:ind w:right="80"/>
              <w:spacing w:after="0" w:line="109" w:lineRule="exact"/>
              <w:rPr>
                <w:sz w:val="20"/>
                <w:szCs w:val="20"/>
                <w:color w:val="auto"/>
              </w:rPr>
            </w:pPr>
            <w:r>
              <w:rPr>
                <w:rFonts w:ascii="Times New Roman" w:cs="Times New Roman" w:eastAsia="Times New Roman" w:hAnsi="Times New Roman"/>
                <w:sz w:val="11"/>
                <w:szCs w:val="11"/>
                <w:b w:val="1"/>
                <w:bCs w:val="1"/>
                <w:color w:val="auto"/>
              </w:rPr>
              <w:t>0.6%</w:t>
            </w:r>
          </w:p>
        </w:tc>
        <w:tc>
          <w:tcPr>
            <w:tcW w:w="720" w:type="dxa"/>
            <w:vAlign w:val="bottom"/>
            <w:gridSpan w:val="3"/>
          </w:tcPr>
          <w:p>
            <w:pPr>
              <w:jc w:val="right"/>
              <w:ind w:right="20"/>
              <w:spacing w:after="0" w:line="109" w:lineRule="exact"/>
              <w:rPr>
                <w:sz w:val="20"/>
                <w:szCs w:val="20"/>
                <w:color w:val="auto"/>
              </w:rPr>
            </w:pPr>
            <w:r>
              <w:rPr>
                <w:rFonts w:ascii="Times New Roman" w:cs="Times New Roman" w:eastAsia="Times New Roman" w:hAnsi="Times New Roman"/>
                <w:sz w:val="11"/>
                <w:szCs w:val="11"/>
                <w:b w:val="1"/>
                <w:bCs w:val="1"/>
                <w:color w:val="auto"/>
              </w:rPr>
              <w:t>18.5%</w:t>
            </w:r>
          </w:p>
        </w:tc>
        <w:tc>
          <w:tcPr>
            <w:tcW w:w="700" w:type="dxa"/>
            <w:vAlign w:val="bottom"/>
            <w:gridSpan w:val="4"/>
          </w:tcPr>
          <w:p>
            <w:pPr>
              <w:jc w:val="right"/>
              <w:spacing w:after="0" w:line="109" w:lineRule="exact"/>
              <w:rPr>
                <w:sz w:val="20"/>
                <w:szCs w:val="20"/>
                <w:color w:val="auto"/>
              </w:rPr>
            </w:pPr>
            <w:r>
              <w:rPr>
                <w:rFonts w:ascii="Times New Roman" w:cs="Times New Roman" w:eastAsia="Times New Roman" w:hAnsi="Times New Roman"/>
                <w:sz w:val="11"/>
                <w:szCs w:val="11"/>
                <w:b w:val="1"/>
                <w:bCs w:val="1"/>
                <w:color w:val="auto"/>
              </w:rPr>
              <w:t>31.8%</w:t>
            </w:r>
          </w:p>
        </w:tc>
        <w:tc>
          <w:tcPr>
            <w:tcW w:w="840" w:type="dxa"/>
            <w:vAlign w:val="bottom"/>
            <w:gridSpan w:val="3"/>
          </w:tcPr>
          <w:p>
            <w:pPr>
              <w:ind w:left="500"/>
              <w:spacing w:after="0" w:line="109" w:lineRule="exact"/>
              <w:rPr>
                <w:sz w:val="20"/>
                <w:szCs w:val="20"/>
                <w:color w:val="auto"/>
              </w:rPr>
            </w:pPr>
            <w:r>
              <w:rPr>
                <w:rFonts w:ascii="Times New Roman" w:cs="Times New Roman" w:eastAsia="Times New Roman" w:hAnsi="Times New Roman"/>
                <w:sz w:val="11"/>
                <w:szCs w:val="11"/>
                <w:b w:val="1"/>
                <w:bCs w:val="1"/>
                <w:color w:val="auto"/>
              </w:rPr>
              <w:t>3.5%</w:t>
            </w:r>
          </w:p>
        </w:tc>
        <w:tc>
          <w:tcPr>
            <w:tcW w:w="540" w:type="dxa"/>
            <w:vAlign w:val="bottom"/>
            <w:gridSpan w:val="2"/>
          </w:tcPr>
          <w:p>
            <w:pPr>
              <w:jc w:val="right"/>
              <w:ind w:right="20"/>
              <w:spacing w:after="0" w:line="109" w:lineRule="exact"/>
              <w:rPr>
                <w:sz w:val="20"/>
                <w:szCs w:val="20"/>
                <w:color w:val="auto"/>
              </w:rPr>
            </w:pPr>
            <w:r>
              <w:rPr>
                <w:rFonts w:ascii="Times New Roman" w:cs="Times New Roman" w:eastAsia="Times New Roman" w:hAnsi="Times New Roman"/>
                <w:sz w:val="11"/>
                <w:szCs w:val="11"/>
                <w:b w:val="1"/>
                <w:bCs w:val="1"/>
                <w:color w:val="auto"/>
              </w:rPr>
              <w:t>100.0%</w:t>
            </w:r>
          </w:p>
        </w:tc>
      </w:tr>
      <w:tr>
        <w:trPr>
          <w:trHeight w:val="20"/>
        </w:trPr>
        <w:tc>
          <w:tcPr>
            <w:tcW w:w="17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1959610</wp:posOffset>
            </wp:positionH>
            <wp:positionV relativeFrom="paragraph">
              <wp:posOffset>-1104265</wp:posOffset>
            </wp:positionV>
            <wp:extent cx="74930" cy="698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2457450</wp:posOffset>
            </wp:positionH>
            <wp:positionV relativeFrom="paragraph">
              <wp:posOffset>-1104265</wp:posOffset>
            </wp:positionV>
            <wp:extent cx="74930" cy="698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2955290</wp:posOffset>
            </wp:positionH>
            <wp:positionV relativeFrom="paragraph">
              <wp:posOffset>-1104265</wp:posOffset>
            </wp:positionV>
            <wp:extent cx="74930" cy="698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3412490</wp:posOffset>
            </wp:positionH>
            <wp:positionV relativeFrom="paragraph">
              <wp:posOffset>-1104265</wp:posOffset>
            </wp:positionV>
            <wp:extent cx="74930" cy="698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3869055</wp:posOffset>
            </wp:positionH>
            <wp:positionV relativeFrom="paragraph">
              <wp:posOffset>-1104265</wp:posOffset>
            </wp:positionV>
            <wp:extent cx="74930" cy="698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4326255</wp:posOffset>
            </wp:positionH>
            <wp:positionV relativeFrom="paragraph">
              <wp:posOffset>-1104265</wp:posOffset>
            </wp:positionV>
            <wp:extent cx="74930" cy="698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-1104265</wp:posOffset>
            </wp:positionV>
            <wp:extent cx="74930" cy="698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5240020</wp:posOffset>
            </wp:positionH>
            <wp:positionV relativeFrom="paragraph">
              <wp:posOffset>-1104265</wp:posOffset>
            </wp:positionV>
            <wp:extent cx="74930" cy="698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1973580</wp:posOffset>
            </wp:positionH>
            <wp:positionV relativeFrom="paragraph">
              <wp:posOffset>-101600</wp:posOffset>
            </wp:positionV>
            <wp:extent cx="74930" cy="698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2471420</wp:posOffset>
            </wp:positionH>
            <wp:positionV relativeFrom="paragraph">
              <wp:posOffset>-101600</wp:posOffset>
            </wp:positionV>
            <wp:extent cx="74930" cy="698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-101600</wp:posOffset>
            </wp:positionV>
            <wp:extent cx="74930" cy="698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3425825</wp:posOffset>
            </wp:positionH>
            <wp:positionV relativeFrom="paragraph">
              <wp:posOffset>-101600</wp:posOffset>
            </wp:positionV>
            <wp:extent cx="74930" cy="698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3923665</wp:posOffset>
            </wp:positionH>
            <wp:positionV relativeFrom="paragraph">
              <wp:posOffset>-101600</wp:posOffset>
            </wp:positionV>
            <wp:extent cx="74930" cy="698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4380865</wp:posOffset>
            </wp:positionH>
            <wp:positionV relativeFrom="paragraph">
              <wp:posOffset>-101600</wp:posOffset>
            </wp:positionV>
            <wp:extent cx="74930" cy="698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4858385</wp:posOffset>
            </wp:positionH>
            <wp:positionV relativeFrom="paragraph">
              <wp:posOffset>-101600</wp:posOffset>
            </wp:positionV>
            <wp:extent cx="74930" cy="698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5240020</wp:posOffset>
            </wp:positionH>
            <wp:positionV relativeFrom="paragraph">
              <wp:posOffset>-101600</wp:posOffset>
            </wp:positionV>
            <wp:extent cx="74930" cy="698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4930" cy="6985"/>
                    </a:xfrm>
                    <a:prstGeom prst="rect">
                      <a:avLst/>
                    </a:prstGeom>
                    <a:noFill/>
                  </pic:spPr>
                </pic:pic>
              </a:graphicData>
            </a:graphic>
          </wp:anchor>
        </w:drawing>
      </w:r>
    </w:p>
    <w:p>
      <w:pPr>
        <w:spacing w:after="0" w:line="137" w:lineRule="exact"/>
        <w:rPr>
          <w:sz w:val="20"/>
          <w:szCs w:val="20"/>
          <w:color w:val="auto"/>
        </w:rPr>
      </w:pPr>
    </w:p>
    <w:p>
      <w:pPr>
        <w:ind w:left="640" w:right="659" w:firstLine="351"/>
        <w:spacing w:after="0" w:line="285" w:lineRule="auto"/>
        <w:rPr>
          <w:sz w:val="20"/>
          <w:szCs w:val="20"/>
          <w:color w:val="auto"/>
        </w:rPr>
      </w:pPr>
      <w:r>
        <w:rPr>
          <w:rFonts w:ascii="Times New Roman" w:cs="Times New Roman" w:eastAsia="Times New Roman" w:hAnsi="Times New Roman"/>
          <w:sz w:val="14"/>
          <w:szCs w:val="14"/>
          <w:color w:val="auto"/>
        </w:rPr>
        <w:t>See Note 3 of the unaudited condensed consolidated financial statements and related notes in this Form 10-Q for more information regarding revenue by payor type for each reportable segment for the three and nine months ended September 30, 2026 and 2025.</w:t>
      </w:r>
    </w:p>
    <w:p>
      <w:pPr>
        <w:spacing w:after="0" w:line="38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Trends and Other Factors Affecting Business</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Expansion of our Pharmacy Solutions</w:t>
      </w:r>
    </w:p>
    <w:p>
      <w:pPr>
        <w:spacing w:after="0" w:line="101" w:lineRule="exact"/>
        <w:rPr>
          <w:sz w:val="20"/>
          <w:szCs w:val="20"/>
          <w:color w:val="auto"/>
        </w:rPr>
      </w:pPr>
    </w:p>
    <w:p>
      <w:pPr>
        <w:ind w:left="640" w:right="659" w:firstLine="351"/>
        <w:spacing w:after="0" w:line="261" w:lineRule="auto"/>
        <w:rPr>
          <w:sz w:val="20"/>
          <w:szCs w:val="20"/>
          <w:color w:val="auto"/>
        </w:rPr>
      </w:pPr>
      <w:r>
        <w:rPr>
          <w:rFonts w:ascii="Times New Roman" w:cs="Times New Roman" w:eastAsia="Times New Roman" w:hAnsi="Times New Roman"/>
          <w:sz w:val="14"/>
          <w:szCs w:val="14"/>
          <w:color w:val="auto"/>
        </w:rPr>
        <w:t>We focus on providing health-dependent medications in a timely and well-supported manner to our patients receiving pharmacy solutions in their home and community-based settings. Our pharmacy services are primarily delivered directly to patients in their place of residence, home, or stay, and sometimes in a clinic setting. According to industry reports, pharmacy solutions delivered to and tailored for the home environment, such as home infusion services, oncology services, and daily medication management services in the home, will continue to grow faster than the overall and general pharmacy market. We have continued to expand our pharmacy capabilities to serve this need. We are a leading independent pharmacy provider in our respective pharmacy patient markets, and we expect to continue to increase our share, including home infusion patients, specialty oncology patients, behavioral patients, in-home Seniors, and hospice patients.</w:t>
      </w:r>
    </w:p>
    <w:p>
      <w:pPr>
        <w:spacing w:after="0" w:line="14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Continued Growth of our Provider Services Patient Populations</w:t>
      </w:r>
    </w:p>
    <w:p>
      <w:pPr>
        <w:spacing w:after="0" w:line="101" w:lineRule="exact"/>
        <w:rPr>
          <w:sz w:val="20"/>
          <w:szCs w:val="20"/>
          <w:color w:val="auto"/>
        </w:rPr>
      </w:pPr>
    </w:p>
    <w:p>
      <w:pPr>
        <w:ind w:left="640" w:right="659" w:firstLine="351"/>
        <w:spacing w:after="0" w:line="265" w:lineRule="auto"/>
        <w:rPr>
          <w:sz w:val="20"/>
          <w:szCs w:val="20"/>
          <w:color w:val="auto"/>
        </w:rPr>
      </w:pPr>
      <w:r>
        <w:rPr>
          <w:rFonts w:ascii="Times New Roman" w:cs="Times New Roman" w:eastAsia="Times New Roman" w:hAnsi="Times New Roman"/>
          <w:sz w:val="14"/>
          <w:szCs w:val="14"/>
          <w:color w:val="auto"/>
        </w:rPr>
        <w:t>We focus on delivering high-touch and coordinated services to medically complex Senior and Specialty patients in the home and community-based settings where they live. As the baby boomer population ages, Seniors, who comprise a significant majority of our patients, will represent a higher percentage of the overall population. Given the proven value proposition of home-based health services, we believe patients will increasingly seek treatment and referral sources and payors will increasingly support treatment in homes more often than in higher cost, less convenient, higher acuity institutional settings.</w:t>
      </w:r>
    </w:p>
    <w:p>
      <w:pPr>
        <w:spacing w:after="0" w:line="56" w:lineRule="exact"/>
        <w:rPr>
          <w:sz w:val="20"/>
          <w:szCs w:val="20"/>
          <w:color w:val="auto"/>
        </w:rPr>
      </w:pPr>
    </w:p>
    <w:p>
      <w:pPr>
        <w:ind w:left="640" w:right="679" w:firstLine="351"/>
        <w:spacing w:after="0" w:line="262" w:lineRule="auto"/>
        <w:rPr>
          <w:sz w:val="20"/>
          <w:szCs w:val="20"/>
          <w:color w:val="auto"/>
        </w:rPr>
      </w:pPr>
      <w:r>
        <w:rPr>
          <w:rFonts w:ascii="Times New Roman" w:cs="Times New Roman" w:eastAsia="Times New Roman" w:hAnsi="Times New Roman"/>
          <w:sz w:val="14"/>
          <w:szCs w:val="14"/>
          <w:color w:val="auto"/>
        </w:rPr>
        <w:t>The vast majority of patients we serve in our provider businesses are served in the home, and we have purposefully continued to expand our service offering and footprint to serve patients in this lower cost setting. Since 2019, we built upon supportive care services to patients, as we have meaningfully expanded our footprint of highly clinical and expert services to home health, rehabilitation, and hospice patients to address a large national healthcare need and more completely and better serve Senior and Specialty patients in the home as evidenced by continued census growth within the Provider Services segment. Our complementary services that address the multiple needs of these patient populations will increasingly provide integrated care opportunities to provide more complete and better coordinated services to patients across health settings and stages.</w:t>
      </w:r>
    </w:p>
    <w:p>
      <w:pPr>
        <w:spacing w:after="0" w:line="14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Stable Reimbursement Environment Across our Portfolio of Businesses</w:t>
      </w:r>
    </w:p>
    <w:p>
      <w:pPr>
        <w:spacing w:after="0" w:line="101" w:lineRule="exact"/>
        <w:rPr>
          <w:sz w:val="20"/>
          <w:szCs w:val="20"/>
          <w:color w:val="auto"/>
        </w:rPr>
      </w:pPr>
    </w:p>
    <w:p>
      <w:pPr>
        <w:jc w:val="both"/>
        <w:ind w:left="640" w:right="679" w:firstLine="351"/>
        <w:spacing w:after="0" w:line="274" w:lineRule="auto"/>
        <w:rPr>
          <w:sz w:val="20"/>
          <w:szCs w:val="20"/>
          <w:color w:val="auto"/>
        </w:rPr>
      </w:pPr>
      <w:r>
        <w:rPr>
          <w:rFonts w:ascii="Times New Roman" w:cs="Times New Roman" w:eastAsia="Times New Roman" w:hAnsi="Times New Roman"/>
          <w:sz w:val="14"/>
          <w:szCs w:val="14"/>
          <w:color w:val="auto"/>
        </w:rPr>
        <w:t>Our revenue is dependent upon our contracts and relationships with payors for our “must-serve” patient populations. We partner with a large and diverse set of payor groups nationally and in each of our markets, to form provider networks and to lower the overall cost of care. We structure our payor contracts to help both providers and payors achieve their objectives in a mutually aligned manner.</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30" w:name="page31"/>
    <w:bookmarkEnd w:id="30"/>
    <w:p>
      <w:pPr>
        <w:ind w:left="640" w:right="1119"/>
        <w:spacing w:after="0" w:line="292" w:lineRule="auto"/>
        <w:rPr>
          <w:sz w:val="20"/>
          <w:szCs w:val="20"/>
          <w:color w:val="auto"/>
        </w:rPr>
      </w:pPr>
      <w:r>
        <w:rPr>
          <w:rFonts w:ascii="Times New Roman" w:cs="Times New Roman" w:eastAsia="Times New Roman" w:hAnsi="Times New Roman"/>
          <w:sz w:val="14"/>
          <w:szCs w:val="14"/>
          <w:color w:val="auto"/>
        </w:rPr>
        <w:t>Maintaining, supporting, and both deepening and increasing the number of these contracts and relationships, particularly as we continue to grow market share and enter new markets, is important for our long-term success.</w:t>
      </w:r>
    </w:p>
    <w:p>
      <w:pPr>
        <w:spacing w:after="0" w:line="38" w:lineRule="exact"/>
        <w:rPr>
          <w:sz w:val="20"/>
          <w:szCs w:val="20"/>
          <w:color w:val="auto"/>
        </w:rPr>
      </w:pPr>
    </w:p>
    <w:p>
      <w:pPr>
        <w:ind w:left="640" w:right="679" w:firstLine="351"/>
        <w:spacing w:after="0" w:line="268" w:lineRule="auto"/>
        <w:rPr>
          <w:sz w:val="20"/>
          <w:szCs w:val="20"/>
          <w:color w:val="auto"/>
        </w:rPr>
      </w:pPr>
      <w:r>
        <w:rPr>
          <w:rFonts w:ascii="Times New Roman" w:cs="Times New Roman" w:eastAsia="Times New Roman" w:hAnsi="Times New Roman"/>
          <w:sz w:val="14"/>
          <w:szCs w:val="14"/>
          <w:color w:val="auto"/>
        </w:rPr>
        <w:t>We have observed relatively stable reimbursement rates from government and commercial payors in our pharmacy and provider services over a number of years, particularly for services provided to high-need, medically complex populations. Due to the medical necessity of our services, which are lower cost than healthcare services provided in other settings and reduce ER, hospital and institutional facility utilization, we have a history of reimbursement stability.</w:t>
      </w:r>
    </w:p>
    <w:p>
      <w:pPr>
        <w:spacing w:after="0" w:line="13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Culture of Quality and Compliance and Consistent Operations Execution</w:t>
      </w:r>
    </w:p>
    <w:p>
      <w:pPr>
        <w:spacing w:after="0" w:line="101" w:lineRule="exact"/>
        <w:rPr>
          <w:sz w:val="20"/>
          <w:szCs w:val="20"/>
          <w:color w:val="auto"/>
        </w:rPr>
      </w:pPr>
    </w:p>
    <w:p>
      <w:pPr>
        <w:ind w:left="640" w:right="679" w:firstLine="351"/>
        <w:spacing w:after="0" w:line="264" w:lineRule="auto"/>
        <w:rPr>
          <w:sz w:val="20"/>
          <w:szCs w:val="20"/>
          <w:color w:val="auto"/>
        </w:rPr>
      </w:pPr>
      <w:r>
        <w:rPr>
          <w:rFonts w:ascii="Times New Roman" w:cs="Times New Roman" w:eastAsia="Times New Roman" w:hAnsi="Times New Roman"/>
          <w:sz w:val="14"/>
          <w:szCs w:val="14"/>
          <w:color w:val="auto"/>
        </w:rPr>
        <w:t>Quality and compliance are central to our strategies and mission. We have demonstrated leading and excellent service and customer/patient/family satisfaction scores across the organization, as referenced in prior filings such as our Form 10-K. In addition to quality and compliance resources and programs in field operations, we invest in people, training, auditing, signature programs, accreditations, advocacy, and technologies to support quality, compliance, and safety as part of our “Quality First” framework. We have demonstrated consistently high and often leading marks for service levels, satisfaction scores, and quality metrics in our industries.</w:t>
      </w:r>
    </w:p>
    <w:p>
      <w:pPr>
        <w:spacing w:after="0" w:line="231" w:lineRule="exact"/>
        <w:rPr>
          <w:sz w:val="20"/>
          <w:szCs w:val="20"/>
          <w:color w:val="auto"/>
        </w:rPr>
      </w:pPr>
    </w:p>
    <w:p>
      <w:pPr>
        <w:ind w:left="640" w:right="779" w:firstLine="351"/>
        <w:spacing w:after="0" w:line="268" w:lineRule="auto"/>
        <w:rPr>
          <w:sz w:val="20"/>
          <w:szCs w:val="20"/>
          <w:color w:val="auto"/>
        </w:rPr>
      </w:pPr>
      <w:r>
        <w:rPr>
          <w:rFonts w:ascii="Times New Roman" w:cs="Times New Roman" w:eastAsia="Times New Roman" w:hAnsi="Times New Roman"/>
          <w:sz w:val="14"/>
          <w:szCs w:val="14"/>
          <w:color w:val="auto"/>
        </w:rPr>
        <w:t>Operational excellence is also an ongoing focus at the Company, including how we collect and share key metrics, hold operational reviews, audit, conduct training, deploy expert support resources, execute on corrective and preventative actions, and implement continuous improvement initiatives across the organization. We have continued to make investments in automation, data, and technology systems to support enhanced workflows, further scale, and future growth across service lines.</w:t>
      </w:r>
    </w:p>
    <w:p>
      <w:pPr>
        <w:spacing w:after="0" w:line="13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Ability to Build De Novo Locations</w:t>
      </w:r>
    </w:p>
    <w:p>
      <w:pPr>
        <w:spacing w:after="0" w:line="101" w:lineRule="exact"/>
        <w:rPr>
          <w:sz w:val="20"/>
          <w:szCs w:val="20"/>
          <w:color w:val="auto"/>
        </w:rPr>
      </w:pPr>
    </w:p>
    <w:p>
      <w:pPr>
        <w:ind w:left="640" w:right="659" w:firstLine="351"/>
        <w:spacing w:after="0" w:line="263" w:lineRule="auto"/>
        <w:rPr>
          <w:sz w:val="20"/>
          <w:szCs w:val="20"/>
          <w:color w:val="auto"/>
        </w:rPr>
      </w:pPr>
      <w:r>
        <w:rPr>
          <w:rFonts w:ascii="Times New Roman" w:cs="Times New Roman" w:eastAsia="Times New Roman" w:hAnsi="Times New Roman"/>
          <w:sz w:val="14"/>
          <w:szCs w:val="14"/>
          <w:color w:val="auto"/>
        </w:rPr>
        <w:t>We have a proven ability to augment growth of existing operations by expanding our presence and opening new locations – in both of our reportable segments, Pharmacy Solutions and Provider Services – across geographies with consistent ramp-up in performance after site opening. We believe our platform can continue to build further scale nationally, adding density to additional and targeted key markets as a lever to facilitate maximum pharmacy and provider services overlap, integrated and value-based care, and growth. The Company’s geographic and operations scale, and platform of complementary segments and service lines, provides us with access to more de novo opportunities to consider and prioritize.</w:t>
      </w:r>
    </w:p>
    <w:p>
      <w:pPr>
        <w:spacing w:after="0" w:line="58" w:lineRule="exact"/>
        <w:rPr>
          <w:sz w:val="20"/>
          <w:szCs w:val="20"/>
          <w:color w:val="auto"/>
        </w:rPr>
      </w:pPr>
    </w:p>
    <w:p>
      <w:pPr>
        <w:ind w:left="640" w:right="659" w:firstLine="351"/>
        <w:spacing w:after="0" w:line="263" w:lineRule="auto"/>
        <w:rPr>
          <w:sz w:val="20"/>
          <w:szCs w:val="20"/>
          <w:color w:val="auto"/>
        </w:rPr>
      </w:pPr>
      <w:r>
        <w:rPr>
          <w:rFonts w:ascii="Times New Roman" w:cs="Times New Roman" w:eastAsia="Times New Roman" w:hAnsi="Times New Roman"/>
          <w:sz w:val="14"/>
          <w:szCs w:val="14"/>
          <w:color w:val="auto"/>
        </w:rPr>
        <w:t>We typically identify and open new locations within proximity of an existing location as we leverage existing market knowledge and presence to expand in target markets, regions, and states. Our internal support resources in real estate, purchasing, IT, credentialing, payor contracting, HR, and sales and marketing, along with our Project Management Office, help to support and manage de novo locations from start to opening. We expect to continue to selectively and strategically expand our footprint within the United States and extend our service offerings to our patients and for customers, referral sources, and payors. We believe de novo investments facilitate more integrated care capability and are a meaningful organic growth driver for the Company.</w:t>
      </w:r>
    </w:p>
    <w:p>
      <w:pPr>
        <w:spacing w:after="0" w:line="14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Ability to Facilitate Integrated Care</w:t>
      </w:r>
    </w:p>
    <w:p>
      <w:pPr>
        <w:spacing w:after="0" w:line="101" w:lineRule="exact"/>
        <w:rPr>
          <w:sz w:val="20"/>
          <w:szCs w:val="20"/>
          <w:color w:val="auto"/>
        </w:rPr>
      </w:pPr>
    </w:p>
    <w:p>
      <w:pPr>
        <w:ind w:left="640" w:right="659" w:firstLine="351"/>
        <w:spacing w:after="0" w:line="262" w:lineRule="auto"/>
        <w:rPr>
          <w:sz w:val="20"/>
          <w:szCs w:val="20"/>
          <w:color w:val="auto"/>
        </w:rPr>
      </w:pPr>
      <w:r>
        <w:rPr>
          <w:rFonts w:ascii="Times New Roman" w:cs="Times New Roman" w:eastAsia="Times New Roman" w:hAnsi="Times New Roman"/>
          <w:sz w:val="14"/>
          <w:szCs w:val="14"/>
          <w:color w:val="auto"/>
        </w:rPr>
        <w:t>Our operating model consists of complementary pharmacy and provider services that high-need Senior and Specialty populations require, and it is designed to increasingly coordinate, manage, and serve patients across our various needs and settings over time, leading to improved patient, family, physician, and referral source satisfaction, improved payor experiences, and better outcomes. Our performance and potential to drive increased service volume for increased patient and health outcomes impact is driven partly by our appeal with our patients, families, customers, referral sources, and payors to provide multiple integrated care services – either in the same setting at the same time or across settings and stages of health – within our collection of pharmacy solutions and provider services and differentiated overall capabilities.</w:t>
      </w:r>
    </w:p>
    <w:p>
      <w:pPr>
        <w:spacing w:after="0" w:line="59" w:lineRule="exact"/>
        <w:rPr>
          <w:sz w:val="20"/>
          <w:szCs w:val="20"/>
          <w:color w:val="auto"/>
        </w:rPr>
      </w:pPr>
    </w:p>
    <w:p>
      <w:pPr>
        <w:ind w:left="640" w:right="759" w:firstLine="351"/>
        <w:spacing w:after="0" w:line="261" w:lineRule="auto"/>
        <w:rPr>
          <w:sz w:val="20"/>
          <w:szCs w:val="20"/>
          <w:color w:val="auto"/>
        </w:rPr>
      </w:pPr>
      <w:r>
        <w:rPr>
          <w:rFonts w:ascii="Times New Roman" w:cs="Times New Roman" w:eastAsia="Times New Roman" w:hAnsi="Times New Roman"/>
          <w:sz w:val="14"/>
          <w:szCs w:val="14"/>
          <w:color w:val="auto"/>
        </w:rPr>
        <w:t>We provide multiple pharmacy and provider services to approximately 10,000 patients today, and we believe that there are substantially more opportunities to deliver more integrated care, given the hundreds of thousands of patients we serve and a similar number of patients discharging from customers annually. Value-add, beneficial, and multiple integrated care opportunities exist for our customer base and all Senior and Specialty patient populations not only across pharmacy and provider services, but also within each segment. Within pharmacy services, Continue CareRx is aimed at providing medication risk and therapy management continuously and longitudinally post discharge from hospitals and skilled nursing customers. Within provider services, patients often transition from home health to hospice services and can receive therapy and supportive care services concurrent with each other and with home health and hospice.</w:t>
      </w:r>
    </w:p>
    <w:p>
      <w:pPr>
        <w:spacing w:after="0" w:line="14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Aligning to Value-Based Care Reimbursement Models with Innovative Solutions</w:t>
      </w:r>
    </w:p>
    <w:p>
      <w:pPr>
        <w:spacing w:after="0" w:line="101" w:lineRule="exact"/>
        <w:rPr>
          <w:sz w:val="20"/>
          <w:szCs w:val="20"/>
          <w:color w:val="auto"/>
        </w:rPr>
      </w:pPr>
    </w:p>
    <w:p>
      <w:pPr>
        <w:ind w:left="640" w:right="739" w:firstLine="351"/>
        <w:spacing w:after="0" w:line="265" w:lineRule="auto"/>
        <w:rPr>
          <w:sz w:val="20"/>
          <w:szCs w:val="20"/>
          <w:color w:val="auto"/>
        </w:rPr>
      </w:pPr>
      <w:r>
        <w:rPr>
          <w:rFonts w:ascii="Times New Roman" w:cs="Times New Roman" w:eastAsia="Times New Roman" w:hAnsi="Times New Roman"/>
          <w:sz w:val="14"/>
          <w:szCs w:val="14"/>
          <w:color w:val="auto"/>
        </w:rPr>
        <w:t>The scale and depth of our complimentary platform of diverse yet related customer and patient services – that complex patients require – positions us at the forefront with governmental and commercial payors who are increasingly seeking ways to expand value-based reimbursement models. Our high-quality services that are delivered in home and community-based and patient and family-preferred settings at lower comparable costs are well-positioned for the long term, and we continue to add wraparound care management capabilities and offerings to our core services. In addition to our large Medicare and Medicaid beneficiary populations,</w:t>
      </w:r>
    </w:p>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31" w:name="page32"/>
    <w:bookmarkEnd w:id="31"/>
    <w:p>
      <w:pPr>
        <w:ind w:left="640" w:right="659"/>
        <w:spacing w:after="0" w:line="262" w:lineRule="auto"/>
        <w:rPr>
          <w:sz w:val="20"/>
          <w:szCs w:val="20"/>
          <w:color w:val="auto"/>
        </w:rPr>
      </w:pPr>
      <w:r>
        <w:rPr>
          <w:rFonts w:ascii="Times New Roman" w:cs="Times New Roman" w:eastAsia="Times New Roman" w:hAnsi="Times New Roman"/>
          <w:sz w:val="14"/>
          <w:szCs w:val="14"/>
          <w:color w:val="auto"/>
        </w:rPr>
        <w:t>we have a large number of non-governmental payor contracts across the organization today, which both diversifies our payor mix, and provides for additional value-based opportunities and partnerships. The Company’s focused build out of its (i) Home-Based Primary Care, transitional care programs, and in-home medication therapy management, and (ii) Clinical (Nursing) Hub, are key enablers to coordinate base pharmacy and provider services and drive improved quality and lower costs for value-based care constructs. In addition to numerous payor contracts that feature reimbursement incentives, in the past year the Company has entered into accountable care organization (“ACO”) arrangements to participate in shared savings from its attributed primary care patients and other ACO partnerships and contract as a preferred provider.</w:t>
      </w:r>
    </w:p>
    <w:p>
      <w:pPr>
        <w:spacing w:after="0" w:line="2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Components of Results of Operations</w:t>
      </w:r>
    </w:p>
    <w:p>
      <w:pPr>
        <w:spacing w:after="0" w:line="183" w:lineRule="exact"/>
        <w:rPr>
          <w:sz w:val="20"/>
          <w:szCs w:val="20"/>
          <w:color w:val="auto"/>
        </w:rPr>
      </w:pPr>
    </w:p>
    <w:p>
      <w:pPr>
        <w:ind w:left="640" w:right="759" w:firstLine="351"/>
        <w:spacing w:after="0" w:line="266" w:lineRule="auto"/>
        <w:rPr>
          <w:sz w:val="20"/>
          <w:szCs w:val="20"/>
          <w:color w:val="auto"/>
        </w:rPr>
      </w:pPr>
      <w:r>
        <w:rPr>
          <w:rFonts w:ascii="Times New Roman" w:cs="Times New Roman" w:eastAsia="Times New Roman" w:hAnsi="Times New Roman"/>
          <w:sz w:val="14"/>
          <w:szCs w:val="14"/>
          <w:i w:val="1"/>
          <w:iCs w:val="1"/>
          <w:color w:val="auto"/>
        </w:rPr>
        <w:t>Revenues</w:t>
      </w:r>
      <w:r>
        <w:rPr>
          <w:rFonts w:ascii="Times New Roman" w:cs="Times New Roman" w:eastAsia="Times New Roman" w:hAnsi="Times New Roman"/>
          <w:sz w:val="14"/>
          <w:szCs w:val="14"/>
          <w:color w:val="auto"/>
        </w:rPr>
        <w:t>. The Company recognizes the amount of revenue to which it expects to be entitled for the transfer of promised goods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or services to customers. For transactions involving the transfer of goods, revenues are primarily recognized when the customer obtains control of the products sold, which is generally upon shipment or delivery, depending on the delivery terms specified in the sales agreement. For transactions exclusively involving provision of services, revenues are recognized over time based on an appropriate measure of progress.</w:t>
      </w:r>
    </w:p>
    <w:p>
      <w:pPr>
        <w:spacing w:after="0" w:line="53" w:lineRule="exact"/>
        <w:rPr>
          <w:sz w:val="20"/>
          <w:szCs w:val="20"/>
          <w:color w:val="auto"/>
        </w:rPr>
      </w:pPr>
    </w:p>
    <w:p>
      <w:pPr>
        <w:ind w:left="640" w:right="679" w:firstLine="351"/>
        <w:spacing w:after="0" w:line="266" w:lineRule="auto"/>
        <w:rPr>
          <w:sz w:val="20"/>
          <w:szCs w:val="20"/>
          <w:color w:val="auto"/>
        </w:rPr>
      </w:pPr>
      <w:r>
        <w:rPr>
          <w:rFonts w:ascii="Times New Roman" w:cs="Times New Roman" w:eastAsia="Times New Roman" w:hAnsi="Times New Roman"/>
          <w:sz w:val="14"/>
          <w:szCs w:val="14"/>
          <w:i w:val="1"/>
          <w:iCs w:val="1"/>
          <w:color w:val="auto"/>
        </w:rPr>
        <w:t>Cost of Goods and Cost of Services</w:t>
      </w:r>
      <w:r>
        <w:rPr>
          <w:rFonts w:ascii="Times New Roman" w:cs="Times New Roman" w:eastAsia="Times New Roman" w:hAnsi="Times New Roman"/>
          <w:sz w:val="14"/>
          <w:szCs w:val="14"/>
          <w:color w:val="auto"/>
        </w:rPr>
        <w:t>. We classify expenses directly related to providing goods and services, including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depreciation and amortization, as cost of goods and cost of services. Direct costs and expenses principally include cost of drugs, net of rebates, salaries and benefits for direct care and service professionals, contracted labor costs, insurance costs, transportation costs for clients requiring services, certain client expenses such as food, supplies and medicine, residential occupancy expenses, which primarily comprise rent and utilities, and other miscellaneous direct goods or service-related expenses.</w:t>
      </w:r>
    </w:p>
    <w:p>
      <w:pPr>
        <w:spacing w:after="0" w:line="53" w:lineRule="exact"/>
        <w:rPr>
          <w:sz w:val="20"/>
          <w:szCs w:val="20"/>
          <w:color w:val="auto"/>
        </w:rPr>
      </w:pPr>
    </w:p>
    <w:p>
      <w:pPr>
        <w:ind w:left="640" w:right="819" w:firstLine="351"/>
        <w:spacing w:after="0" w:line="266" w:lineRule="auto"/>
        <w:rPr>
          <w:sz w:val="20"/>
          <w:szCs w:val="20"/>
          <w:color w:val="auto"/>
        </w:rPr>
      </w:pPr>
      <w:r>
        <w:rPr>
          <w:rFonts w:ascii="Times New Roman" w:cs="Times New Roman" w:eastAsia="Times New Roman" w:hAnsi="Times New Roman"/>
          <w:sz w:val="14"/>
          <w:szCs w:val="14"/>
          <w:i w:val="1"/>
          <w:iCs w:val="1"/>
          <w:color w:val="auto"/>
        </w:rPr>
        <w:t>Selling, General, and Administrative Expenses</w:t>
      </w:r>
      <w:r>
        <w:rPr>
          <w:rFonts w:ascii="Times New Roman" w:cs="Times New Roman" w:eastAsia="Times New Roman" w:hAnsi="Times New Roman"/>
          <w:sz w:val="14"/>
          <w:szCs w:val="14"/>
          <w:color w:val="auto"/>
        </w:rPr>
        <w:t>. Selling, general, and administrative expenses consist of expenses incurred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support of our operations and administrative functions and include labor costs, such as salaries, bonuses, commissions, benefits, and travel-related expenses, distribution expenses, facilities rental costs, third-party revenue cycle management costs, and corporate support costs including finance, information technology, legal costs and settlements, human resources, procurement, and other administrative costs.</w:t>
      </w:r>
    </w:p>
    <w:p>
      <w:pPr>
        <w:spacing w:after="0" w:line="53" w:lineRule="exact"/>
        <w:rPr>
          <w:sz w:val="20"/>
          <w:szCs w:val="20"/>
          <w:color w:val="auto"/>
        </w:rPr>
      </w:pPr>
    </w:p>
    <w:p>
      <w:pPr>
        <w:ind w:left="640" w:right="679" w:firstLine="351"/>
        <w:spacing w:after="0" w:line="269" w:lineRule="auto"/>
        <w:rPr>
          <w:sz w:val="20"/>
          <w:szCs w:val="20"/>
          <w:color w:val="auto"/>
        </w:rPr>
      </w:pPr>
      <w:r>
        <w:rPr>
          <w:rFonts w:ascii="Times New Roman" w:cs="Times New Roman" w:eastAsia="Times New Roman" w:hAnsi="Times New Roman"/>
          <w:sz w:val="14"/>
          <w:szCs w:val="14"/>
          <w:i w:val="1"/>
          <w:iCs w:val="1"/>
          <w:color w:val="auto"/>
        </w:rPr>
        <w:t>Interest Expense, net</w:t>
      </w:r>
      <w:r>
        <w:rPr>
          <w:rFonts w:ascii="Times New Roman" w:cs="Times New Roman" w:eastAsia="Times New Roman" w:hAnsi="Times New Roman"/>
          <w:sz w:val="14"/>
          <w:szCs w:val="14"/>
          <w:color w:val="auto"/>
        </w:rPr>
        <w:t>. Interest expense, net includes the debt service costs associated with our various debt instruments,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including our First Lien Facilities, and the amortization of related deferred financing fees, which are amortized over the term of the respective credit agreement. Interest expense, net also includes the portion of the gain or loss on our interest rate swap agreements that is reclassified into earnings.</w:t>
      </w:r>
    </w:p>
    <w:p>
      <w:pPr>
        <w:spacing w:after="0" w:line="51" w:lineRule="exact"/>
        <w:rPr>
          <w:sz w:val="20"/>
          <w:szCs w:val="20"/>
          <w:color w:val="auto"/>
        </w:rPr>
      </w:pPr>
    </w:p>
    <w:p>
      <w:pPr>
        <w:jc w:val="both"/>
        <w:ind w:left="640" w:right="819" w:firstLine="351"/>
        <w:spacing w:after="0" w:line="275" w:lineRule="auto"/>
        <w:rPr>
          <w:sz w:val="20"/>
          <w:szCs w:val="20"/>
          <w:color w:val="auto"/>
        </w:rPr>
      </w:pPr>
      <w:r>
        <w:rPr>
          <w:rFonts w:ascii="Times New Roman" w:cs="Times New Roman" w:eastAsia="Times New Roman" w:hAnsi="Times New Roman"/>
          <w:sz w:val="14"/>
          <w:szCs w:val="14"/>
          <w:i w:val="1"/>
          <w:iCs w:val="1"/>
          <w:color w:val="auto"/>
        </w:rPr>
        <w:t>Income Tax Expense</w:t>
      </w:r>
      <w:r>
        <w:rPr>
          <w:rFonts w:ascii="Times New Roman" w:cs="Times New Roman" w:eastAsia="Times New Roman" w:hAnsi="Times New Roman"/>
          <w:sz w:val="14"/>
          <w:szCs w:val="14"/>
          <w:color w:val="auto"/>
        </w:rPr>
        <w:t>. Our provision for income taxes is based on permanent book/tax differences and statutory tax rates in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various jurisdictions in which we operate. Significant estimates and judgments are required in determining the provision for income taxes.</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32" w:name="page33"/>
    <w:bookmarkEnd w:id="32"/>
    <w:p>
      <w:pPr>
        <w:ind w:left="640"/>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u w:val="single" w:color="auto"/>
          <w:color w:val="auto"/>
        </w:rPr>
        <w:t>Consolidated Results of Operations</w:t>
      </w:r>
    </w:p>
    <w:p>
      <w:pPr>
        <w:spacing w:after="0" w:line="9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2026 Compared to Three Months Ended September 30, 2025</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The following table sets forth, for the periods indicated, our consolidated results of operations.</w:t>
      </w:r>
    </w:p>
    <w:p>
      <w:pPr>
        <w:spacing w:after="0" w:line="178" w:lineRule="exact"/>
        <w:rPr>
          <w:sz w:val="20"/>
          <w:szCs w:val="20"/>
          <w:color w:val="auto"/>
        </w:rPr>
      </w:pPr>
    </w:p>
    <w:tbl>
      <w:tblPr>
        <w:tblLayout w:type="fixed"/>
        <w:tblInd w:w="640" w:type="dxa"/>
        <w:tblCellMar>
          <w:top w:w="0" w:type="dxa"/>
          <w:left w:w="0" w:type="dxa"/>
          <w:bottom w:w="0" w:type="dxa"/>
          <w:right w:w="0" w:type="dxa"/>
        </w:tblCellMar>
      </w:tblPr>
      <w:tr>
        <w:trPr>
          <w:trHeight w:val="137"/>
        </w:trPr>
        <w:tc>
          <w:tcPr>
            <w:tcW w:w="3740" w:type="dxa"/>
            <w:vAlign w:val="bottom"/>
            <w:gridSpan w:val="2"/>
          </w:tcPr>
          <w:p>
            <w:pPr>
              <w:spacing w:after="0"/>
              <w:rPr>
                <w:sz w:val="20"/>
                <w:szCs w:val="20"/>
                <w:color w:val="auto"/>
              </w:rPr>
            </w:pPr>
            <w:r>
              <w:rPr>
                <w:rFonts w:ascii="Times New Roman" w:cs="Times New Roman" w:eastAsia="Times New Roman" w:hAnsi="Times New Roman"/>
                <w:sz w:val="11"/>
                <w:szCs w:val="11"/>
                <w:i w:val="1"/>
                <w:iCs w:val="1"/>
                <w:color w:val="auto"/>
              </w:rPr>
              <w:t>($ in thousands)</w:t>
            </w:r>
          </w:p>
        </w:tc>
        <w:tc>
          <w:tcPr>
            <w:tcW w:w="1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38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1"/>
                <w:szCs w:val="11"/>
                <w:b w:val="1"/>
                <w:bCs w:val="1"/>
                <w:color w:val="auto"/>
              </w:rPr>
              <w:t>For the Three Months Ended September 30,</w:t>
            </w:r>
          </w:p>
        </w:tc>
        <w:tc>
          <w:tcPr>
            <w:tcW w:w="6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vMerge w:val="restart"/>
          </w:tcPr>
          <w:p>
            <w:pPr>
              <w:jc w:val="right"/>
              <w:ind w:right="229"/>
              <w:spacing w:after="0"/>
              <w:rPr>
                <w:sz w:val="20"/>
                <w:szCs w:val="20"/>
                <w:color w:val="auto"/>
              </w:rPr>
            </w:pPr>
            <w:r>
              <w:rPr>
                <w:rFonts w:ascii="Times New Roman" w:cs="Times New Roman" w:eastAsia="Times New Roman" w:hAnsi="Times New Roman"/>
                <w:sz w:val="11"/>
                <w:szCs w:val="11"/>
                <w:b w:val="1"/>
                <w:bCs w:val="1"/>
                <w:color w:val="auto"/>
              </w:rPr>
              <w:t>2026</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vMerge w:val="restart"/>
          </w:tcPr>
          <w:p>
            <w:pPr>
              <w:jc w:val="right"/>
              <w:ind w:right="229"/>
              <w:spacing w:after="0"/>
              <w:rPr>
                <w:sz w:val="20"/>
                <w:szCs w:val="20"/>
                <w:color w:val="auto"/>
              </w:rPr>
            </w:pPr>
            <w:r>
              <w:rPr>
                <w:rFonts w:ascii="Times New Roman" w:cs="Times New Roman" w:eastAsia="Times New Roman" w:hAnsi="Times New Roman"/>
                <w:sz w:val="11"/>
                <w:szCs w:val="11"/>
                <w:b w:val="1"/>
                <w:bCs w:val="1"/>
                <w:color w:val="auto"/>
              </w:rPr>
              <w:t>2025</w:t>
            </w:r>
          </w:p>
        </w:tc>
        <w:tc>
          <w:tcPr>
            <w:tcW w:w="1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gridSpan w:val="3"/>
          </w:tcPr>
          <w:p>
            <w:pPr>
              <w:ind w:left="580"/>
              <w:spacing w:after="0" w:line="109" w:lineRule="exact"/>
              <w:rPr>
                <w:sz w:val="20"/>
                <w:szCs w:val="20"/>
                <w:color w:val="auto"/>
              </w:rPr>
            </w:pPr>
            <w:r>
              <w:rPr>
                <w:rFonts w:ascii="Times New Roman" w:cs="Times New Roman" w:eastAsia="Times New Roman" w:hAnsi="Times New Roman"/>
                <w:sz w:val="11"/>
                <w:szCs w:val="11"/>
                <w:b w:val="1"/>
                <w:bCs w:val="1"/>
                <w:color w:val="auto"/>
              </w:rPr>
              <w:t>Change</w:t>
            </w:r>
          </w:p>
        </w:tc>
        <w:tc>
          <w:tcPr>
            <w:tcW w:w="6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gridSpan w:val="3"/>
          </w:tcPr>
          <w:p>
            <w:pPr>
              <w:ind w:left="60"/>
              <w:spacing w:after="0" w:line="109" w:lineRule="exact"/>
              <w:rPr>
                <w:sz w:val="20"/>
                <w:szCs w:val="20"/>
                <w:color w:val="auto"/>
              </w:rPr>
            </w:pPr>
            <w:r>
              <w:rPr>
                <w:rFonts w:ascii="Times New Roman" w:cs="Times New Roman" w:eastAsia="Times New Roman" w:hAnsi="Times New Roman"/>
                <w:sz w:val="11"/>
                <w:szCs w:val="11"/>
                <w:b w:val="1"/>
                <w:bCs w:val="1"/>
                <w:color w:val="auto"/>
              </w:rPr>
              <w:t>Amount</w:t>
            </w:r>
          </w:p>
        </w:tc>
        <w:tc>
          <w:tcPr>
            <w:tcW w:w="600" w:type="dxa"/>
            <w:vAlign w:val="bottom"/>
          </w:tcPr>
          <w:p>
            <w:pPr>
              <w:jc w:val="right"/>
              <w:ind w:right="289"/>
              <w:spacing w:after="0" w:line="109" w:lineRule="exact"/>
              <w:rPr>
                <w:sz w:val="20"/>
                <w:szCs w:val="20"/>
                <w:color w:val="auto"/>
              </w:rPr>
            </w:pPr>
            <w:r>
              <w:rPr>
                <w:rFonts w:ascii="Times New Roman" w:cs="Times New Roman" w:eastAsia="Times New Roman" w:hAnsi="Times New Roman"/>
                <w:sz w:val="11"/>
                <w:szCs w:val="11"/>
                <w:b w:val="1"/>
                <w:bCs w:val="1"/>
                <w:color w:val="auto"/>
              </w:rPr>
              <w:t>%</w:t>
            </w: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Revenues:</w:t>
            </w:r>
          </w:p>
        </w:tc>
        <w:tc>
          <w:tcPr>
            <w:tcW w:w="160" w:type="dxa"/>
            <w:vAlign w:val="bottom"/>
            <w:tcBorders>
              <w:top w:val="single" w:sz="8" w:color="auto"/>
            </w:tcBorders>
            <w:shd w:val="clear" w:color="auto" w:fill="CFF0FC"/>
          </w:tcPr>
          <w:p>
            <w:pPr>
              <w:spacing w:after="0"/>
              <w:rPr>
                <w:sz w:val="14"/>
                <w:szCs w:val="14"/>
                <w:color w:val="auto"/>
              </w:rPr>
            </w:pPr>
          </w:p>
        </w:tc>
        <w:tc>
          <w:tcPr>
            <w:tcW w:w="660" w:type="dxa"/>
            <w:vAlign w:val="bottom"/>
            <w:tcBorders>
              <w:top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680" w:type="dxa"/>
            <w:vAlign w:val="bottom"/>
            <w:tcBorders>
              <w:top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680" w:type="dxa"/>
            <w:vAlign w:val="bottom"/>
            <w:tcBorders>
              <w:top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60" w:type="dxa"/>
            <w:vAlign w:val="bottom"/>
            <w:tcBorders>
              <w:top w:val="single" w:sz="8" w:color="auto"/>
            </w:tcBorders>
            <w:shd w:val="clear" w:color="auto" w:fill="CFF0FC"/>
          </w:tcPr>
          <w:p>
            <w:pPr>
              <w:spacing w:after="0"/>
              <w:rPr>
                <w:sz w:val="14"/>
                <w:szCs w:val="14"/>
                <w:color w:val="auto"/>
              </w:rPr>
            </w:pPr>
          </w:p>
        </w:tc>
        <w:tc>
          <w:tcPr>
            <w:tcW w:w="600" w:type="dxa"/>
            <w:vAlign w:val="bottom"/>
            <w:tcBorders>
              <w:top w:val="single" w:sz="8" w:color="auto"/>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7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Products</w:t>
            </w:r>
          </w:p>
        </w:tc>
        <w:tc>
          <w:tcPr>
            <w:tcW w:w="1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3,732,428</w:t>
            </w:r>
          </w:p>
        </w:tc>
        <w:tc>
          <w:tcPr>
            <w:tcW w:w="3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2,966,966</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765,462</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25.8%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Services</w:t>
            </w:r>
          </w:p>
        </w:tc>
        <w:tc>
          <w:tcPr>
            <w:tcW w:w="16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480,806</w:t>
            </w: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367,140</w:t>
            </w: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113,666</w:t>
            </w:r>
          </w:p>
        </w:tc>
        <w:tc>
          <w:tcPr>
            <w:tcW w:w="1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31.0%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7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vMerge w:val="continue"/>
          </w:tcPr>
          <w:p>
            <w:pPr>
              <w:spacing w:after="0"/>
              <w:rPr>
                <w:sz w:val="14"/>
                <w:szCs w:val="14"/>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Total revenues</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4,213,234</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3,334,106</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879,128</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26.4%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vMerge w:val="continue"/>
          </w:tcPr>
          <w:p>
            <w:pPr>
              <w:spacing w:after="0"/>
              <w:rPr>
                <w:sz w:val="14"/>
                <w:szCs w:val="14"/>
                <w:color w:val="auto"/>
              </w:rPr>
            </w:pPr>
          </w:p>
        </w:tc>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Cost of goods</w:t>
            </w:r>
          </w:p>
        </w:tc>
        <w:tc>
          <w:tcPr>
            <w:tcW w:w="16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3,416,415</w:t>
            </w: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2,721,314</w:t>
            </w: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695,101</w:t>
            </w:r>
          </w:p>
        </w:tc>
        <w:tc>
          <w:tcPr>
            <w:tcW w:w="1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25.5%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Cost of services</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278,270</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220,784</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57,486</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26.0%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vMerge w:val="continue"/>
          </w:tcPr>
          <w:p>
            <w:pPr>
              <w:spacing w:after="0"/>
              <w:rPr>
                <w:sz w:val="14"/>
                <w:szCs w:val="14"/>
                <w:color w:val="auto"/>
              </w:rPr>
            </w:pPr>
          </w:p>
        </w:tc>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Gross profit</w:t>
            </w:r>
          </w:p>
        </w:tc>
        <w:tc>
          <w:tcPr>
            <w:tcW w:w="16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518,549</w:t>
            </w: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392,008</w:t>
            </w: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126,541</w:t>
            </w:r>
          </w:p>
        </w:tc>
        <w:tc>
          <w:tcPr>
            <w:tcW w:w="1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32.3%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358,069</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304,165</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53,904</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Borders>
              <w:bottom w:val="single" w:sz="8" w:color="CFF0FC"/>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FF0FC"/>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FF0FC"/>
            </w:tcBorders>
          </w:tcPr>
          <w:p>
            <w:pPr>
              <w:spacing w:after="0" w:line="20" w:lineRule="exact"/>
              <w:rPr>
                <w:sz w:val="1"/>
                <w:szCs w:val="1"/>
                <w:color w:val="auto"/>
              </w:rPr>
            </w:pPr>
          </w:p>
        </w:tc>
        <w:tc>
          <w:tcPr>
            <w:tcW w:w="260" w:type="dxa"/>
            <w:vAlign w:val="bottom"/>
            <w:tcBorders>
              <w:bottom w:val="single" w:sz="8" w:color="CFF0FC"/>
            </w:tcBorders>
            <w:shd w:val="clear" w:color="auto" w:fill="000000"/>
          </w:tcPr>
          <w:p>
            <w:pPr>
              <w:spacing w:after="0" w:line="20" w:lineRule="exact"/>
              <w:rPr>
                <w:sz w:val="1"/>
                <w:szCs w:val="1"/>
                <w:color w:val="auto"/>
              </w:rPr>
            </w:pPr>
          </w:p>
        </w:tc>
        <w:tc>
          <w:tcPr>
            <w:tcW w:w="600" w:type="dxa"/>
            <w:vAlign w:val="bottom"/>
            <w:tcBorders>
              <w:bottom w:val="single" w:sz="8" w:color="CFF0FC"/>
            </w:tcBorders>
            <w:shd w:val="clear" w:color="auto" w:fill="000000"/>
          </w:tcPr>
          <w:p>
            <w:pPr>
              <w:spacing w:after="0" w:line="20" w:lineRule="exact"/>
              <w:rPr>
                <w:sz w:val="1"/>
                <w:szCs w:val="1"/>
                <w:color w:val="auto"/>
              </w:rPr>
            </w:pPr>
          </w:p>
        </w:tc>
        <w:tc>
          <w:tcPr>
            <w:tcW w:w="20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0" w:type="dxa"/>
            <w:vAlign w:val="bottom"/>
          </w:tcPr>
          <w:p>
            <w:pPr>
              <w:spacing w:after="0"/>
              <w:rPr>
                <w:sz w:val="13"/>
                <w:szCs w:val="13"/>
                <w:color w:val="auto"/>
              </w:rPr>
            </w:pPr>
          </w:p>
        </w:tc>
        <w:tc>
          <w:tcPr>
            <w:tcW w:w="3720" w:type="dxa"/>
            <w:vAlign w:val="bottom"/>
            <w:shd w:val="clear" w:color="auto" w:fill="CFF0FC"/>
          </w:tcPr>
          <w:p>
            <w:pPr>
              <w:spacing w:after="0" w:line="153" w:lineRule="exact"/>
              <w:rPr>
                <w:sz w:val="20"/>
                <w:szCs w:val="20"/>
                <w:color w:val="auto"/>
              </w:rPr>
            </w:pPr>
            <w:r>
              <w:rPr>
                <w:rFonts w:ascii="Times New Roman" w:cs="Times New Roman" w:eastAsia="Times New Roman" w:hAnsi="Times New Roman"/>
                <w:sz w:val="14"/>
                <w:szCs w:val="14"/>
                <w:color w:val="auto"/>
              </w:rPr>
              <w:t>Operating income</w:t>
            </w:r>
          </w:p>
        </w:tc>
        <w:tc>
          <w:tcPr>
            <w:tcW w:w="16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line="153" w:lineRule="exact"/>
              <w:rPr>
                <w:sz w:val="20"/>
                <w:szCs w:val="20"/>
                <w:color w:val="auto"/>
              </w:rPr>
            </w:pPr>
            <w:r>
              <w:rPr>
                <w:rFonts w:ascii="Times New Roman" w:cs="Times New Roman" w:eastAsia="Times New Roman" w:hAnsi="Times New Roman"/>
                <w:sz w:val="14"/>
                <w:szCs w:val="14"/>
                <w:color w:val="auto"/>
              </w:rPr>
              <w:t>160,480</w:t>
            </w:r>
          </w:p>
        </w:tc>
        <w:tc>
          <w:tcPr>
            <w:tcW w:w="1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line="153" w:lineRule="exact"/>
              <w:rPr>
                <w:sz w:val="20"/>
                <w:szCs w:val="20"/>
                <w:color w:val="auto"/>
              </w:rPr>
            </w:pPr>
            <w:r>
              <w:rPr>
                <w:rFonts w:ascii="Times New Roman" w:cs="Times New Roman" w:eastAsia="Times New Roman" w:hAnsi="Times New Roman"/>
                <w:sz w:val="14"/>
                <w:szCs w:val="14"/>
                <w:color w:val="auto"/>
              </w:rPr>
              <w:t>87,843</w:t>
            </w:r>
          </w:p>
        </w:tc>
        <w:tc>
          <w:tcPr>
            <w:tcW w:w="1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line="153" w:lineRule="exact"/>
              <w:rPr>
                <w:sz w:val="20"/>
                <w:szCs w:val="20"/>
                <w:color w:val="auto"/>
              </w:rPr>
            </w:pPr>
            <w:r>
              <w:rPr>
                <w:rFonts w:ascii="Times New Roman" w:cs="Times New Roman" w:eastAsia="Times New Roman" w:hAnsi="Times New Roman"/>
                <w:sz w:val="14"/>
                <w:szCs w:val="14"/>
                <w:color w:val="auto"/>
              </w:rPr>
              <w:t>72,637</w:t>
            </w:r>
          </w:p>
        </w:tc>
        <w:tc>
          <w:tcPr>
            <w:tcW w:w="1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80"/>
              <w:spacing w:after="0" w:line="153" w:lineRule="exact"/>
              <w:rPr>
                <w:sz w:val="20"/>
                <w:szCs w:val="20"/>
                <w:color w:val="auto"/>
              </w:rPr>
            </w:pPr>
            <w:r>
              <w:rPr>
                <w:rFonts w:ascii="Times New Roman" w:cs="Times New Roman" w:eastAsia="Times New Roman" w:hAnsi="Times New Roman"/>
                <w:sz w:val="14"/>
                <w:szCs w:val="14"/>
                <w:color w:val="auto"/>
              </w:rPr>
              <w:t>82.7%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Interest expense, net</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31,038</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38,235</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(7,197)</w:t>
            </w:r>
          </w:p>
        </w:tc>
        <w:tc>
          <w:tcPr>
            <w:tcW w:w="260" w:type="dxa"/>
            <w:vAlign w:val="bottom"/>
          </w:tcPr>
          <w:p>
            <w:pPr>
              <w:spacing w:after="0"/>
              <w:rPr>
                <w:sz w:val="14"/>
                <w:szCs w:val="14"/>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(18.8)%</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Income from continuing operations before income taxes</w:t>
            </w:r>
          </w:p>
        </w:tc>
        <w:tc>
          <w:tcPr>
            <w:tcW w:w="160" w:type="dxa"/>
            <w:vAlign w:val="bottom"/>
            <w:tcBorders>
              <w:top w:val="single" w:sz="8" w:color="auto"/>
            </w:tcBorders>
            <w:shd w:val="clear" w:color="auto" w:fill="CFF0FC"/>
          </w:tcPr>
          <w:p>
            <w:pPr>
              <w:spacing w:after="0"/>
              <w:rPr>
                <w:sz w:val="14"/>
                <w:szCs w:val="14"/>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129,442</w:t>
            </w:r>
          </w:p>
        </w:tc>
        <w:tc>
          <w:tcPr>
            <w:tcW w:w="160" w:type="dxa"/>
            <w:vAlign w:val="bottom"/>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49,608</w:t>
            </w:r>
          </w:p>
        </w:tc>
        <w:tc>
          <w:tcPr>
            <w:tcW w:w="16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79,834</w:t>
            </w:r>
          </w:p>
        </w:tc>
        <w:tc>
          <w:tcPr>
            <w:tcW w:w="140" w:type="dxa"/>
            <w:vAlign w:val="bottom"/>
            <w:shd w:val="clear" w:color="auto" w:fill="CFF0FC"/>
          </w:tcPr>
          <w:p>
            <w:pPr>
              <w:spacing w:after="0"/>
              <w:rPr>
                <w:sz w:val="14"/>
                <w:szCs w:val="14"/>
                <w:color w:val="auto"/>
              </w:rPr>
            </w:pPr>
          </w:p>
        </w:tc>
        <w:tc>
          <w:tcPr>
            <w:tcW w:w="260" w:type="dxa"/>
            <w:vAlign w:val="bottom"/>
            <w:tcBorders>
              <w:top w:val="single" w:sz="8" w:color="auto"/>
            </w:tcBorders>
            <w:shd w:val="clear" w:color="auto" w:fill="CFF0FC"/>
          </w:tcPr>
          <w:p>
            <w:pPr>
              <w:spacing w:after="0"/>
              <w:rPr>
                <w:sz w:val="14"/>
                <w:szCs w:val="14"/>
                <w:color w:val="auto"/>
              </w:rPr>
            </w:pPr>
          </w:p>
        </w:tc>
        <w:tc>
          <w:tcPr>
            <w:tcW w:w="600" w:type="dxa"/>
            <w:vAlign w:val="bottom"/>
            <w:tcBorders>
              <w:top w:val="single" w:sz="8" w:color="auto"/>
            </w:tcBorders>
            <w:shd w:val="clear" w:color="auto" w:fill="CFF0FC"/>
          </w:tcPr>
          <w:p>
            <w:pPr>
              <w:ind w:left="340"/>
              <w:spacing w:after="0"/>
              <w:rPr>
                <w:sz w:val="20"/>
                <w:szCs w:val="20"/>
                <w:color w:val="auto"/>
              </w:rPr>
            </w:pPr>
            <w:r>
              <w:rPr>
                <w:rFonts w:ascii="Times New Roman" w:cs="Times New Roman" w:eastAsia="Times New Roman" w:hAnsi="Times New Roman"/>
                <w:sz w:val="14"/>
                <w:szCs w:val="14"/>
                <w:color w:val="auto"/>
                <w:w w:val="96"/>
              </w:rPr>
              <w:t>n.m.</w:t>
            </w:r>
          </w:p>
        </w:tc>
        <w:tc>
          <w:tcPr>
            <w:tcW w:w="2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Income tax expense</w:t>
            </w: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28,640</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12,120</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16,520</w:t>
            </w: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w w:val="96"/>
              </w:rPr>
              <w:t>n.m.</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income from continuing operations</w:t>
            </w:r>
          </w:p>
        </w:tc>
        <w:tc>
          <w:tcPr>
            <w:tcW w:w="160" w:type="dxa"/>
            <w:vAlign w:val="bottom"/>
            <w:tcBorders>
              <w:bottom w:val="single" w:sz="8" w:color="auto"/>
            </w:tcBorders>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100,802</w:t>
            </w:r>
          </w:p>
        </w:tc>
        <w:tc>
          <w:tcPr>
            <w:tcW w:w="16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37,488</w:t>
            </w:r>
          </w:p>
        </w:tc>
        <w:tc>
          <w:tcPr>
            <w:tcW w:w="16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63,314</w:t>
            </w:r>
          </w:p>
        </w:tc>
        <w:tc>
          <w:tcPr>
            <w:tcW w:w="14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600" w:type="dxa"/>
            <w:vAlign w:val="bottom"/>
            <w:tcBorders>
              <w:bottom w:val="single" w:sz="8" w:color="auto"/>
            </w:tcBorders>
            <w:shd w:val="clear" w:color="auto" w:fill="CFF0FC"/>
          </w:tcPr>
          <w:p>
            <w:pPr>
              <w:ind w:left="340"/>
              <w:spacing w:after="0"/>
              <w:rPr>
                <w:sz w:val="20"/>
                <w:szCs w:val="20"/>
                <w:color w:val="auto"/>
              </w:rPr>
            </w:pPr>
            <w:r>
              <w:rPr>
                <w:rFonts w:ascii="Times New Roman" w:cs="Times New Roman" w:eastAsia="Times New Roman" w:hAnsi="Times New Roman"/>
                <w:sz w:val="14"/>
                <w:szCs w:val="14"/>
                <w:color w:val="auto"/>
                <w:w w:val="96"/>
              </w:rPr>
              <w:t>n.m.</w:t>
            </w:r>
          </w:p>
        </w:tc>
        <w:tc>
          <w:tcPr>
            <w:tcW w:w="2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720" w:type="dxa"/>
            <w:vAlign w:val="bottom"/>
          </w:tcPr>
          <w:p>
            <w:pPr>
              <w:spacing w:after="0" w:line="163" w:lineRule="exact"/>
              <w:rPr>
                <w:sz w:val="20"/>
                <w:szCs w:val="20"/>
                <w:color w:val="auto"/>
              </w:rPr>
            </w:pPr>
            <w:r>
              <w:rPr>
                <w:rFonts w:ascii="Times New Roman" w:cs="Times New Roman" w:eastAsia="Times New Roman" w:hAnsi="Times New Roman"/>
                <w:sz w:val="14"/>
                <w:szCs w:val="14"/>
                <w:color w:val="auto"/>
              </w:rPr>
              <w:t xml:space="preserve">Adjusted EBITDA </w:t>
            </w:r>
            <w:r>
              <w:rPr>
                <w:rFonts w:ascii="Times New Roman" w:cs="Times New Roman" w:eastAsia="Times New Roman" w:hAnsi="Times New Roman"/>
                <w:sz w:val="18"/>
                <w:szCs w:val="18"/>
                <w:color w:val="auto"/>
                <w:vertAlign w:val="superscript"/>
              </w:rPr>
              <w:t>(1)</w:t>
            </w:r>
          </w:p>
        </w:tc>
        <w:tc>
          <w:tcPr>
            <w:tcW w:w="1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227,759</w:t>
            </w:r>
          </w:p>
        </w:tc>
        <w:tc>
          <w:tcPr>
            <w:tcW w:w="3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160,443</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67,316</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3303270</wp:posOffset>
            </wp:positionH>
            <wp:positionV relativeFrom="paragraph">
              <wp:posOffset>-1274445</wp:posOffset>
            </wp:positionV>
            <wp:extent cx="47625" cy="698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3937635</wp:posOffset>
            </wp:positionH>
            <wp:positionV relativeFrom="paragraph">
              <wp:posOffset>-1274445</wp:posOffset>
            </wp:positionV>
            <wp:extent cx="47625" cy="698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4558030</wp:posOffset>
            </wp:positionH>
            <wp:positionV relativeFrom="paragraph">
              <wp:posOffset>-1274445</wp:posOffset>
            </wp:positionV>
            <wp:extent cx="47625" cy="698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5199380</wp:posOffset>
            </wp:positionH>
            <wp:positionV relativeFrom="paragraph">
              <wp:posOffset>-1274445</wp:posOffset>
            </wp:positionV>
            <wp:extent cx="116205" cy="698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16205" cy="6985"/>
                    </a:xfrm>
                    <a:prstGeom prst="rect">
                      <a:avLst/>
                    </a:prstGeom>
                    <a:noFill/>
                  </pic:spPr>
                </pic:pic>
              </a:graphicData>
            </a:graphic>
          </wp:anchor>
        </w:drawing>
        <w:drawing>
          <wp:anchor simplePos="0" relativeHeight="251657728" behindDoc="1" locked="0" layoutInCell="0" allowOverlap="1">
            <wp:simplePos x="0" y="0"/>
            <wp:positionH relativeFrom="column">
              <wp:posOffset>3303270</wp:posOffset>
            </wp:positionH>
            <wp:positionV relativeFrom="paragraph">
              <wp:posOffset>-701675</wp:posOffset>
            </wp:positionV>
            <wp:extent cx="47625" cy="698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3937635</wp:posOffset>
            </wp:positionH>
            <wp:positionV relativeFrom="paragraph">
              <wp:posOffset>-701675</wp:posOffset>
            </wp:positionV>
            <wp:extent cx="47625" cy="698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4558030</wp:posOffset>
            </wp:positionH>
            <wp:positionV relativeFrom="paragraph">
              <wp:posOffset>-701675</wp:posOffset>
            </wp:positionV>
            <wp:extent cx="47625" cy="698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3303270</wp:posOffset>
            </wp:positionH>
            <wp:positionV relativeFrom="paragraph">
              <wp:posOffset>-135890</wp:posOffset>
            </wp:positionV>
            <wp:extent cx="47625" cy="698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3937635</wp:posOffset>
            </wp:positionH>
            <wp:positionV relativeFrom="paragraph">
              <wp:posOffset>-135890</wp:posOffset>
            </wp:positionV>
            <wp:extent cx="47625" cy="698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4558030</wp:posOffset>
            </wp:positionH>
            <wp:positionV relativeFrom="paragraph">
              <wp:posOffset>-135890</wp:posOffset>
            </wp:positionV>
            <wp:extent cx="47625" cy="698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5199380</wp:posOffset>
            </wp:positionH>
            <wp:positionV relativeFrom="paragraph">
              <wp:posOffset>-135890</wp:posOffset>
            </wp:positionV>
            <wp:extent cx="116205" cy="698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16205" cy="6985"/>
                    </a:xfrm>
                    <a:prstGeom prst="rect">
                      <a:avLst/>
                    </a:prstGeom>
                    <a:noFill/>
                  </pic:spPr>
                </pic:pic>
              </a:graphicData>
            </a:graphic>
          </wp:anchor>
        </w:drawing>
      </w:r>
    </w:p>
    <w:p>
      <w:pPr>
        <w:spacing w:after="0" w:line="4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1"/>
          <w:szCs w:val="11"/>
          <w:i w:val="1"/>
          <w:iCs w:val="1"/>
          <w:color w:val="auto"/>
        </w:rPr>
        <w:t>* n.m.: not meaningful</w:t>
      </w:r>
    </w:p>
    <w:p>
      <w:pPr>
        <w:spacing w:after="0" w:line="16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(1) Reconciliation of GAAP to non-GAAP results is provided below under the section entitled “Non-GAAP Financial Measures.”</w:t>
      </w:r>
    </w:p>
    <w:p>
      <w:pPr>
        <w:spacing w:after="0" w:line="183" w:lineRule="exact"/>
        <w:rPr>
          <w:sz w:val="20"/>
          <w:szCs w:val="20"/>
          <w:color w:val="auto"/>
        </w:rPr>
      </w:pPr>
    </w:p>
    <w:p>
      <w:pPr>
        <w:ind w:left="640" w:right="859" w:firstLine="351"/>
        <w:spacing w:after="0" w:line="292" w:lineRule="auto"/>
        <w:rPr>
          <w:sz w:val="20"/>
          <w:szCs w:val="20"/>
          <w:color w:val="auto"/>
        </w:rPr>
      </w:pPr>
      <w:r>
        <w:rPr>
          <w:rFonts w:ascii="Times New Roman" w:cs="Times New Roman" w:eastAsia="Times New Roman" w:hAnsi="Times New Roman"/>
          <w:sz w:val="14"/>
          <w:szCs w:val="14"/>
          <w:color w:val="auto"/>
        </w:rPr>
        <w:t>The following discussion of our results of operations should be read in conjunction with the foregoing table summarizing our consolidated results of operations.</w:t>
      </w:r>
    </w:p>
    <w:p>
      <w:pPr>
        <w:spacing w:after="0" w:line="1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Revenues</w:t>
      </w:r>
    </w:p>
    <w:p>
      <w:pPr>
        <w:spacing w:after="0" w:line="99" w:lineRule="exact"/>
        <w:rPr>
          <w:sz w:val="20"/>
          <w:szCs w:val="20"/>
          <w:color w:val="auto"/>
        </w:rPr>
      </w:pPr>
    </w:p>
    <w:p>
      <w:pPr>
        <w:ind w:left="640" w:right="739" w:firstLine="351"/>
        <w:spacing w:after="0" w:line="274" w:lineRule="auto"/>
        <w:rPr>
          <w:sz w:val="20"/>
          <w:szCs w:val="20"/>
          <w:color w:val="auto"/>
        </w:rPr>
      </w:pPr>
      <w:r>
        <w:rPr>
          <w:rFonts w:ascii="Times New Roman" w:cs="Times New Roman" w:eastAsia="Times New Roman" w:hAnsi="Times New Roman"/>
          <w:sz w:val="14"/>
          <w:szCs w:val="14"/>
          <w:color w:val="auto"/>
        </w:rPr>
        <w:t>Revenues were $4,213.2 million for the three months ended September 30, 2026, as compared with $3,334.1 million for the three months ended September 30, 2025, an increase of $879.1 million or 26.4%. The increase resulted from growth in our Pharmacy Solutions and Provider Services segments. See additional discussion in “—Segment Results of Operations” below.</w:t>
      </w:r>
    </w:p>
    <w:p>
      <w:pPr>
        <w:spacing w:after="0" w:line="13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Cost of Goods</w:t>
      </w:r>
    </w:p>
    <w:p>
      <w:pPr>
        <w:spacing w:after="0" w:line="99" w:lineRule="exact"/>
        <w:rPr>
          <w:sz w:val="20"/>
          <w:szCs w:val="20"/>
          <w:color w:val="auto"/>
        </w:rPr>
      </w:pPr>
    </w:p>
    <w:p>
      <w:pPr>
        <w:jc w:val="both"/>
        <w:ind w:left="640" w:right="739" w:firstLine="351"/>
        <w:spacing w:after="0" w:line="274" w:lineRule="auto"/>
        <w:rPr>
          <w:sz w:val="20"/>
          <w:szCs w:val="20"/>
          <w:color w:val="auto"/>
        </w:rPr>
      </w:pPr>
      <w:r>
        <w:rPr>
          <w:rFonts w:ascii="Times New Roman" w:cs="Times New Roman" w:eastAsia="Times New Roman" w:hAnsi="Times New Roman"/>
          <w:sz w:val="14"/>
          <w:szCs w:val="14"/>
          <w:color w:val="auto"/>
        </w:rPr>
        <w:t>Cost of goods was $3,416.4 million for the three months ended September 30, 2026, as compared with $2,721.3 million for the three months ended September 30, 2025, an increase of $695.1 million or 25.5%. The increase resulted from an increase in Pharmacy Solutions cost of goods. See additional discussion in “—Segment Results of Operations” below.</w:t>
      </w:r>
    </w:p>
    <w:p>
      <w:pPr>
        <w:spacing w:after="0" w:line="13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Cost of Services</w:t>
      </w:r>
    </w:p>
    <w:p>
      <w:pPr>
        <w:spacing w:after="0" w:line="99" w:lineRule="exact"/>
        <w:rPr>
          <w:sz w:val="20"/>
          <w:szCs w:val="20"/>
          <w:color w:val="auto"/>
        </w:rPr>
      </w:pPr>
    </w:p>
    <w:p>
      <w:pPr>
        <w:jc w:val="both"/>
        <w:ind w:left="640" w:right="859" w:firstLine="351"/>
        <w:spacing w:after="0" w:line="274" w:lineRule="auto"/>
        <w:rPr>
          <w:sz w:val="20"/>
          <w:szCs w:val="20"/>
          <w:color w:val="auto"/>
        </w:rPr>
      </w:pPr>
      <w:r>
        <w:rPr>
          <w:rFonts w:ascii="Times New Roman" w:cs="Times New Roman" w:eastAsia="Times New Roman" w:hAnsi="Times New Roman"/>
          <w:sz w:val="14"/>
          <w:szCs w:val="14"/>
          <w:color w:val="auto"/>
        </w:rPr>
        <w:t>Cost of services was $278.3 million for the three months ended September 30, 2026, as compared with $220.8 million for the three months ended September 30, 2025, an increase of $57.5 million or 26.0%. The increase resulted from an increase in Provider Services cost of services. See additional discussion in “—Segment Results of Operations” below.</w:t>
      </w:r>
    </w:p>
    <w:p>
      <w:pPr>
        <w:spacing w:after="0" w:line="13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Selling, General, and Administrative Expenses</w:t>
      </w:r>
    </w:p>
    <w:p>
      <w:pPr>
        <w:spacing w:after="0" w:line="99" w:lineRule="exact"/>
        <w:rPr>
          <w:sz w:val="20"/>
          <w:szCs w:val="20"/>
          <w:color w:val="auto"/>
        </w:rPr>
      </w:pPr>
    </w:p>
    <w:p>
      <w:pPr>
        <w:ind w:left="640" w:right="699" w:firstLine="351"/>
        <w:spacing w:after="0" w:line="274" w:lineRule="auto"/>
        <w:rPr>
          <w:sz w:val="20"/>
          <w:szCs w:val="20"/>
          <w:color w:val="auto"/>
        </w:rPr>
      </w:pPr>
      <w:r>
        <w:rPr>
          <w:rFonts w:ascii="Times New Roman" w:cs="Times New Roman" w:eastAsia="Times New Roman" w:hAnsi="Times New Roman"/>
          <w:sz w:val="14"/>
          <w:szCs w:val="14"/>
          <w:color w:val="auto"/>
        </w:rPr>
        <w:t>Selling, general, and administrative expenses were $358.1 million for the three months ended September 30, 2026, as compared with $304.2 million for the three months ended September 30, 2025, an increase of $53.9 million or 17.7%. The increase primarily resulted from the following segment activity and factors:</w:t>
      </w:r>
    </w:p>
    <w:p>
      <w:pPr>
        <w:spacing w:after="0" w:line="50" w:lineRule="exact"/>
        <w:rPr>
          <w:sz w:val="20"/>
          <w:szCs w:val="20"/>
          <w:color w:val="auto"/>
        </w:rPr>
      </w:pPr>
    </w:p>
    <w:p>
      <w:pPr>
        <w:jc w:val="both"/>
        <w:ind w:left="1340" w:right="659" w:hanging="352"/>
        <w:spacing w:after="0" w:line="274" w:lineRule="auto"/>
        <w:tabs>
          <w:tab w:leader="none" w:pos="13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of $44.3 million, or 14.6%, on consolidated third quarter of 2025 selling, general, and administrative expenses, as a result of growth in our Pharmacy Solutions and Provider Services segments. See additional discussion in “—Segment Results of Operations” below;</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68" w:right="1440" w:bottom="1440" w:gutter="0" w:footer="0" w:header="0"/>
        </w:sectPr>
      </w:pPr>
    </w:p>
    <w:bookmarkStart w:id="33" w:name="page34"/>
    <w:bookmarkEnd w:id="33"/>
    <w:p>
      <w:pPr>
        <w:ind w:left="1340" w:right="799" w:hanging="352"/>
        <w:spacing w:after="0" w:line="274" w:lineRule="auto"/>
        <w:tabs>
          <w:tab w:leader="none" w:pos="13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of $3.7 million, or 1.2%, on consolidated third quarter of 2025 selling, general, and administrative expenses, due to non-cash share-based compensation related to the equity awards granted to management and certain full-time employees; and,</w:t>
      </w:r>
    </w:p>
    <w:p>
      <w:pPr>
        <w:spacing w:after="0" w:line="50" w:lineRule="exact"/>
        <w:rPr>
          <w:rFonts w:ascii="Times New Roman" w:cs="Times New Roman" w:eastAsia="Times New Roman" w:hAnsi="Times New Roman"/>
          <w:sz w:val="14"/>
          <w:szCs w:val="14"/>
          <w:color w:val="auto"/>
        </w:rPr>
      </w:pPr>
    </w:p>
    <w:p>
      <w:pPr>
        <w:jc w:val="both"/>
        <w:ind w:left="1340" w:right="799" w:hanging="352"/>
        <w:spacing w:after="0" w:line="274" w:lineRule="auto"/>
        <w:tabs>
          <w:tab w:leader="none" w:pos="13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of $8.5 million, or 2.8%, on consolidated third quarter of 2025 selling, general, and administrative expenses, as a result of an increase in investments in information technology, positions to support growth within the business, and certain public company costs incurred year-over-year; offset by,</w:t>
      </w:r>
    </w:p>
    <w:p>
      <w:pPr>
        <w:spacing w:after="0" w:line="50" w:lineRule="exact"/>
        <w:rPr>
          <w:rFonts w:ascii="Times New Roman" w:cs="Times New Roman" w:eastAsia="Times New Roman" w:hAnsi="Times New Roman"/>
          <w:sz w:val="14"/>
          <w:szCs w:val="14"/>
          <w:color w:val="auto"/>
        </w:rPr>
      </w:pPr>
    </w:p>
    <w:p>
      <w:pPr>
        <w:ind w:left="1340" w:right="679" w:hanging="352"/>
        <w:spacing w:after="0" w:line="292" w:lineRule="auto"/>
        <w:tabs>
          <w:tab w:leader="none" w:pos="13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decrease of $2.6 million, or 0.9%, on consolidated third quarter of 2025 selling, general, and administrative expenses, as a result of a decrease in acquisition, integration, and transaction-related costs year-over-year.</w:t>
      </w:r>
    </w:p>
    <w:p>
      <w:pPr>
        <w:spacing w:after="0" w:line="1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Interest Expense, net</w:t>
      </w:r>
    </w:p>
    <w:p>
      <w:pPr>
        <w:spacing w:after="0" w:line="99" w:lineRule="exact"/>
        <w:rPr>
          <w:sz w:val="20"/>
          <w:szCs w:val="20"/>
          <w:color w:val="auto"/>
        </w:rPr>
      </w:pPr>
    </w:p>
    <w:p>
      <w:pPr>
        <w:ind w:left="640" w:right="699" w:firstLine="351"/>
        <w:spacing w:after="0" w:line="265" w:lineRule="auto"/>
        <w:rPr>
          <w:sz w:val="20"/>
          <w:szCs w:val="20"/>
          <w:color w:val="auto"/>
        </w:rPr>
      </w:pPr>
      <w:r>
        <w:rPr>
          <w:rFonts w:ascii="Times New Roman" w:cs="Times New Roman" w:eastAsia="Times New Roman" w:hAnsi="Times New Roman"/>
          <w:sz w:val="14"/>
          <w:szCs w:val="14"/>
          <w:color w:val="auto"/>
        </w:rPr>
        <w:t>Interest expense, net was $31.0 million for the three months ended September 30, 2026, as compared with $38.2 million for the three months ended September 30, 2025, a decrease of $7.2 million or 18.8%. The decrease primarily resulted from a decrease in both the variable-rate and applicable margin for the three months ended September 30, 2026 as compared to the prior period and lower outstanding term debt as compared to the prior period, and was partially offset by a $4.0 million decrease in interest income received related to cash flow hedges of interest rate risk.</w:t>
      </w:r>
    </w:p>
    <w:p>
      <w:pPr>
        <w:spacing w:after="0" w:line="14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Income Tax Expense</w:t>
      </w:r>
    </w:p>
    <w:p>
      <w:pPr>
        <w:spacing w:after="0" w:line="99" w:lineRule="exact"/>
        <w:rPr>
          <w:sz w:val="20"/>
          <w:szCs w:val="20"/>
          <w:color w:val="auto"/>
        </w:rPr>
      </w:pPr>
    </w:p>
    <w:p>
      <w:pPr>
        <w:ind w:left="640" w:right="779" w:firstLine="351"/>
        <w:spacing w:after="0" w:line="262" w:lineRule="auto"/>
        <w:rPr>
          <w:sz w:val="20"/>
          <w:szCs w:val="20"/>
          <w:color w:val="auto"/>
        </w:rPr>
      </w:pPr>
      <w:r>
        <w:rPr>
          <w:rFonts w:ascii="Times New Roman" w:cs="Times New Roman" w:eastAsia="Times New Roman" w:hAnsi="Times New Roman"/>
          <w:sz w:val="14"/>
          <w:szCs w:val="14"/>
          <w:color w:val="auto"/>
        </w:rPr>
        <w:t>Income tax expense was $28.6 million for the three months ended September 30, 2026, as compared with $12.1 million for the three months ended September 30, 2025. The $16.5 million increase in the income tax expense is primarily driven by the increase in pre-tax book income for the three months ended September 30, 2026 as compared to the three months ended September 30, 2025, which was partially offset by a lower effective tax rate for the three months ended September 30, 2026 of 22.1% compared to 24.4% for the three months ended September 30, 2025. The lower effective tax rate was primarily driven by higher excess tax benefits recognized on share-based compensation awards during 2026. These favorable impacts were partially offset by limitations on the deductibility of certain executive compensation.</w:t>
      </w:r>
    </w:p>
    <w:p>
      <w:pPr>
        <w:spacing w:after="0" w:line="14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Net Income from Continuing Operations</w:t>
      </w:r>
    </w:p>
    <w:p>
      <w:pPr>
        <w:spacing w:after="0" w:line="99" w:lineRule="exact"/>
        <w:rPr>
          <w:sz w:val="20"/>
          <w:szCs w:val="20"/>
          <w:color w:val="auto"/>
        </w:rPr>
      </w:pPr>
    </w:p>
    <w:p>
      <w:pPr>
        <w:ind w:left="640" w:right="759" w:firstLine="351"/>
        <w:spacing w:after="0" w:line="268" w:lineRule="auto"/>
        <w:rPr>
          <w:sz w:val="20"/>
          <w:szCs w:val="20"/>
          <w:color w:val="auto"/>
        </w:rPr>
      </w:pPr>
      <w:r>
        <w:rPr>
          <w:rFonts w:ascii="Times New Roman" w:cs="Times New Roman" w:eastAsia="Times New Roman" w:hAnsi="Times New Roman"/>
          <w:sz w:val="14"/>
          <w:szCs w:val="14"/>
          <w:color w:val="auto"/>
        </w:rPr>
        <w:t>Net income from continuing operations was $100.8 million for the three months ended September 30, 2026, as compared with $37.5 million for the three months ended September 30, 2025, an increase of $63.3 million. The increase in net income from continuing operations is primarily attributable to the increase in gross profit and the aforementioned decrease in interest expense, net, partially offset by an increase in selling, general, and administrative expenses and income tax expense.</w:t>
      </w:r>
    </w:p>
    <w:p>
      <w:pPr>
        <w:spacing w:after="0" w:line="14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 xml:space="preserve">Adjusted EBITDA </w:t>
      </w:r>
      <w:r>
        <w:rPr>
          <w:rFonts w:ascii="Times New Roman" w:cs="Times New Roman" w:eastAsia="Times New Roman" w:hAnsi="Times New Roman"/>
          <w:sz w:val="19"/>
          <w:szCs w:val="19"/>
          <w:i w:val="1"/>
          <w:iCs w:val="1"/>
          <w:color w:val="auto"/>
          <w:vertAlign w:val="superscript"/>
        </w:rPr>
        <w:t>(1)</w:t>
      </w:r>
    </w:p>
    <w:p>
      <w:pPr>
        <w:spacing w:after="0" w:line="41" w:lineRule="exact"/>
        <w:rPr>
          <w:sz w:val="20"/>
          <w:szCs w:val="20"/>
          <w:color w:val="auto"/>
        </w:rPr>
      </w:pPr>
    </w:p>
    <w:p>
      <w:pPr>
        <w:ind w:left="640" w:right="679" w:firstLine="351"/>
        <w:spacing w:after="0" w:line="274" w:lineRule="auto"/>
        <w:rPr>
          <w:sz w:val="20"/>
          <w:szCs w:val="20"/>
          <w:color w:val="auto"/>
        </w:rPr>
      </w:pPr>
      <w:r>
        <w:rPr>
          <w:rFonts w:ascii="Times New Roman" w:cs="Times New Roman" w:eastAsia="Times New Roman" w:hAnsi="Times New Roman"/>
          <w:sz w:val="14"/>
          <w:szCs w:val="14"/>
          <w:color w:val="auto"/>
        </w:rPr>
        <w:t>Adjusted EBITDA was $227.8 million for the three months ended September 30, 2026, as compared with $160.4 million for the three months ended September 30, 2025, an increase of $67.3 million or 42.0%. The increase primarily resulted from the following segment activity and factors:</w:t>
      </w:r>
    </w:p>
    <w:p>
      <w:pPr>
        <w:spacing w:after="0" w:line="50" w:lineRule="exact"/>
        <w:rPr>
          <w:sz w:val="20"/>
          <w:szCs w:val="20"/>
          <w:color w:val="auto"/>
        </w:rPr>
      </w:pPr>
    </w:p>
    <w:p>
      <w:pPr>
        <w:ind w:left="1340" w:right="699" w:hanging="352"/>
        <w:spacing w:after="0" w:line="274" w:lineRule="auto"/>
        <w:tabs>
          <w:tab w:leader="none" w:pos="1340" w:val="left"/>
        </w:tabs>
        <w:numPr>
          <w:ilvl w:val="1"/>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of $79.3 million, or 49.4%, on consolidated third quarter of 2025 Adjusted EBITDA, as a result of growth in our Pharmacy Solutions and Provider Services segments. See additional discussion in “—Segment Results of Operations” below; offset by</w:t>
      </w:r>
    </w:p>
    <w:p>
      <w:pPr>
        <w:spacing w:after="0" w:line="50" w:lineRule="exact"/>
        <w:rPr>
          <w:rFonts w:ascii="Times New Roman" w:cs="Times New Roman" w:eastAsia="Times New Roman" w:hAnsi="Times New Roman"/>
          <w:sz w:val="14"/>
          <w:szCs w:val="14"/>
          <w:color w:val="auto"/>
        </w:rPr>
      </w:pPr>
    </w:p>
    <w:p>
      <w:pPr>
        <w:ind w:left="1340" w:right="719" w:hanging="352"/>
        <w:spacing w:after="0" w:line="274" w:lineRule="auto"/>
        <w:tabs>
          <w:tab w:leader="none" w:pos="1340" w:val="left"/>
        </w:tabs>
        <w:numPr>
          <w:ilvl w:val="1"/>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decrease of $12.0 million, or 7.4%, on consolidated third quarter of 2025 Adjusted EBITDA, as a result of increases in investments in information technology, positions to support growth within the business, and certain public company costs incurred.</w:t>
      </w:r>
    </w:p>
    <w:p>
      <w:pPr>
        <w:spacing w:after="0" w:line="125" w:lineRule="exact"/>
        <w:rPr>
          <w:rFonts w:ascii="Times New Roman" w:cs="Times New Roman" w:eastAsia="Times New Roman" w:hAnsi="Times New Roman"/>
          <w:sz w:val="14"/>
          <w:szCs w:val="14"/>
          <w:color w:val="auto"/>
        </w:rPr>
      </w:pPr>
    </w:p>
    <w:p>
      <w:pPr>
        <w:ind w:left="780" w:hanging="142"/>
        <w:spacing w:after="0"/>
        <w:tabs>
          <w:tab w:leader="none" w:pos="780" w:val="left"/>
        </w:tabs>
        <w:numPr>
          <w:ilvl w:val="0"/>
          <w:numId w:val="1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Reconciliation of GAAP to non-GAAP results is provided below under the section entitled “Non-GAAP Financial Measures.”</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34" w:name="page35"/>
    <w:bookmarkEnd w:id="34"/>
    <w:p>
      <w:pPr>
        <w:jc w:val="right"/>
        <w:ind w:left="640" w:right="2579"/>
        <w:spacing w:after="0" w:line="423" w:lineRule="auto"/>
        <w:rPr>
          <w:sz w:val="20"/>
          <w:szCs w:val="20"/>
          <w:color w:val="auto"/>
        </w:rPr>
      </w:pPr>
      <w:r>
        <w:rPr>
          <w:rFonts w:ascii="Times New Roman" w:cs="Times New Roman" w:eastAsia="Times New Roman" w:hAnsi="Times New Roman"/>
          <w:sz w:val="14"/>
          <w:szCs w:val="14"/>
          <w:b w:val="1"/>
          <w:bCs w:val="1"/>
          <w:color w:val="auto"/>
        </w:rPr>
        <w:t xml:space="preserve">Nine Months Ended September 30, 2026 Compared to Nine Months Ended September 30, 2025 </w:t>
      </w:r>
      <w:r>
        <w:rPr>
          <w:rFonts w:ascii="Times New Roman" w:cs="Times New Roman" w:eastAsia="Times New Roman" w:hAnsi="Times New Roman"/>
          <w:sz w:val="14"/>
          <w:szCs w:val="14"/>
          <w:color w:val="auto"/>
        </w:rPr>
        <w:t>The following table sets forth, for the periods indicated, our consolidated results of operations.</w:t>
      </w:r>
    </w:p>
    <w:p>
      <w:pPr>
        <w:spacing w:after="0" w:line="31" w:lineRule="exact"/>
        <w:rPr>
          <w:sz w:val="20"/>
          <w:szCs w:val="20"/>
          <w:color w:val="auto"/>
        </w:rPr>
      </w:pPr>
    </w:p>
    <w:tbl>
      <w:tblPr>
        <w:tblLayout w:type="fixed"/>
        <w:tblInd w:w="640" w:type="dxa"/>
        <w:tblCellMar>
          <w:top w:w="0" w:type="dxa"/>
          <w:left w:w="0" w:type="dxa"/>
          <w:bottom w:w="0" w:type="dxa"/>
          <w:right w:w="0" w:type="dxa"/>
        </w:tblCellMar>
      </w:tblPr>
      <w:tr>
        <w:trPr>
          <w:trHeight w:val="137"/>
        </w:trPr>
        <w:tc>
          <w:tcPr>
            <w:tcW w:w="3620" w:type="dxa"/>
            <w:vAlign w:val="bottom"/>
            <w:gridSpan w:val="2"/>
          </w:tcPr>
          <w:p>
            <w:pPr>
              <w:spacing w:after="0"/>
              <w:rPr>
                <w:sz w:val="20"/>
                <w:szCs w:val="20"/>
                <w:color w:val="auto"/>
              </w:rPr>
            </w:pPr>
            <w:r>
              <w:rPr>
                <w:rFonts w:ascii="Times New Roman" w:cs="Times New Roman" w:eastAsia="Times New Roman" w:hAnsi="Times New Roman"/>
                <w:sz w:val="11"/>
                <w:szCs w:val="11"/>
                <w:i w:val="1"/>
                <w:iCs w:val="1"/>
                <w:color w:val="auto"/>
              </w:rPr>
              <w:t>($ in thousands)</w:t>
            </w:r>
          </w:p>
        </w:tc>
        <w:tc>
          <w:tcPr>
            <w:tcW w:w="1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440" w:type="dxa"/>
            <w:vAlign w:val="bottom"/>
            <w:tcBorders>
              <w:bottom w:val="single" w:sz="8" w:color="auto"/>
            </w:tcBorders>
            <w:gridSpan w:val="8"/>
          </w:tcPr>
          <w:p>
            <w:pPr>
              <w:ind w:left="40"/>
              <w:spacing w:after="0"/>
              <w:rPr>
                <w:sz w:val="20"/>
                <w:szCs w:val="20"/>
                <w:color w:val="auto"/>
              </w:rPr>
            </w:pPr>
            <w:r>
              <w:rPr>
                <w:rFonts w:ascii="Times New Roman" w:cs="Times New Roman" w:eastAsia="Times New Roman" w:hAnsi="Times New Roman"/>
                <w:sz w:val="11"/>
                <w:szCs w:val="11"/>
                <w:b w:val="1"/>
                <w:bCs w:val="1"/>
                <w:color w:val="auto"/>
              </w:rPr>
              <w:t>For the Nine Months Ended September 30,</w:t>
            </w:r>
          </w:p>
        </w:tc>
        <w:tc>
          <w:tcPr>
            <w:tcW w:w="6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vMerge w:val="restart"/>
          </w:tcPr>
          <w:p>
            <w:pPr>
              <w:jc w:val="right"/>
              <w:ind w:right="249"/>
              <w:spacing w:after="0"/>
              <w:rPr>
                <w:sz w:val="20"/>
                <w:szCs w:val="20"/>
                <w:color w:val="auto"/>
              </w:rPr>
            </w:pPr>
            <w:r>
              <w:rPr>
                <w:rFonts w:ascii="Times New Roman" w:cs="Times New Roman" w:eastAsia="Times New Roman" w:hAnsi="Times New Roman"/>
                <w:sz w:val="11"/>
                <w:szCs w:val="11"/>
                <w:b w:val="1"/>
                <w:bCs w:val="1"/>
                <w:color w:val="auto"/>
              </w:rPr>
              <w:t>2026</w:t>
            </w: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vMerge w:val="restart"/>
          </w:tcPr>
          <w:p>
            <w:pPr>
              <w:jc w:val="right"/>
              <w:ind w:right="249"/>
              <w:spacing w:after="0"/>
              <w:rPr>
                <w:sz w:val="20"/>
                <w:szCs w:val="20"/>
                <w:color w:val="auto"/>
              </w:rPr>
            </w:pPr>
            <w:r>
              <w:rPr>
                <w:rFonts w:ascii="Times New Roman" w:cs="Times New Roman" w:eastAsia="Times New Roman" w:hAnsi="Times New Roman"/>
                <w:sz w:val="11"/>
                <w:szCs w:val="11"/>
                <w:b w:val="1"/>
                <w:bCs w:val="1"/>
                <w:color w:val="auto"/>
              </w:rPr>
              <w:t>2025</w:t>
            </w:r>
          </w:p>
        </w:tc>
        <w:tc>
          <w:tcPr>
            <w:tcW w:w="1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gridSpan w:val="3"/>
          </w:tcPr>
          <w:p>
            <w:pPr>
              <w:ind w:left="600"/>
              <w:spacing w:after="0" w:line="109" w:lineRule="exact"/>
              <w:rPr>
                <w:sz w:val="20"/>
                <w:szCs w:val="20"/>
                <w:color w:val="auto"/>
              </w:rPr>
            </w:pPr>
            <w:r>
              <w:rPr>
                <w:rFonts w:ascii="Times New Roman" w:cs="Times New Roman" w:eastAsia="Times New Roman" w:hAnsi="Times New Roman"/>
                <w:sz w:val="11"/>
                <w:szCs w:val="11"/>
                <w:b w:val="1"/>
                <w:bCs w:val="1"/>
                <w:color w:val="auto"/>
              </w:rPr>
              <w:t>Change</w:t>
            </w:r>
          </w:p>
        </w:tc>
        <w:tc>
          <w:tcPr>
            <w:tcW w:w="6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gridSpan w:val="3"/>
          </w:tcPr>
          <w:p>
            <w:pPr>
              <w:ind w:left="80"/>
              <w:spacing w:after="0" w:line="109" w:lineRule="exact"/>
              <w:rPr>
                <w:sz w:val="20"/>
                <w:szCs w:val="20"/>
                <w:color w:val="auto"/>
              </w:rPr>
            </w:pPr>
            <w:r>
              <w:rPr>
                <w:rFonts w:ascii="Times New Roman" w:cs="Times New Roman" w:eastAsia="Times New Roman" w:hAnsi="Times New Roman"/>
                <w:sz w:val="11"/>
                <w:szCs w:val="11"/>
                <w:b w:val="1"/>
                <w:bCs w:val="1"/>
                <w:color w:val="auto"/>
              </w:rPr>
              <w:t>Amount</w:t>
            </w:r>
          </w:p>
        </w:tc>
        <w:tc>
          <w:tcPr>
            <w:tcW w:w="620" w:type="dxa"/>
            <w:vAlign w:val="bottom"/>
          </w:tcPr>
          <w:p>
            <w:pPr>
              <w:jc w:val="right"/>
              <w:ind w:right="309"/>
              <w:spacing w:after="0" w:line="109" w:lineRule="exact"/>
              <w:rPr>
                <w:sz w:val="20"/>
                <w:szCs w:val="20"/>
                <w:color w:val="auto"/>
              </w:rPr>
            </w:pPr>
            <w:r>
              <w:rPr>
                <w:rFonts w:ascii="Times New Roman" w:cs="Times New Roman" w:eastAsia="Times New Roman" w:hAnsi="Times New Roman"/>
                <w:sz w:val="11"/>
                <w:szCs w:val="11"/>
                <w:b w:val="1"/>
                <w:bCs w:val="1"/>
                <w:color w:val="auto"/>
              </w:rPr>
              <w:t>%</w:t>
            </w: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Revenues:</w:t>
            </w:r>
          </w:p>
        </w:tc>
        <w:tc>
          <w:tcPr>
            <w:tcW w:w="140" w:type="dxa"/>
            <w:vAlign w:val="bottom"/>
            <w:tcBorders>
              <w:top w:val="single" w:sz="8" w:color="auto"/>
            </w:tcBorders>
            <w:shd w:val="clear" w:color="auto" w:fill="CFF0FC"/>
          </w:tcPr>
          <w:p>
            <w:pPr>
              <w:spacing w:after="0"/>
              <w:rPr>
                <w:sz w:val="14"/>
                <w:szCs w:val="14"/>
                <w:color w:val="auto"/>
              </w:rPr>
            </w:pPr>
          </w:p>
        </w:tc>
        <w:tc>
          <w:tcPr>
            <w:tcW w:w="720" w:type="dxa"/>
            <w:vAlign w:val="bottom"/>
            <w:tcBorders>
              <w:top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spacing w:after="0"/>
              <w:rPr>
                <w:sz w:val="14"/>
                <w:szCs w:val="14"/>
                <w:color w:val="auto"/>
              </w:rPr>
            </w:pPr>
          </w:p>
        </w:tc>
        <w:tc>
          <w:tcPr>
            <w:tcW w:w="680" w:type="dxa"/>
            <w:vAlign w:val="bottom"/>
            <w:tcBorders>
              <w:top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700" w:type="dxa"/>
            <w:vAlign w:val="bottom"/>
            <w:tcBorders>
              <w:top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60" w:type="dxa"/>
            <w:vAlign w:val="bottom"/>
            <w:tcBorders>
              <w:top w:val="single" w:sz="8" w:color="auto"/>
            </w:tcBorders>
            <w:shd w:val="clear" w:color="auto" w:fill="CFF0FC"/>
          </w:tcPr>
          <w:p>
            <w:pPr>
              <w:spacing w:after="0"/>
              <w:rPr>
                <w:sz w:val="14"/>
                <w:szCs w:val="14"/>
                <w:color w:val="auto"/>
              </w:rPr>
            </w:pPr>
          </w:p>
        </w:tc>
        <w:tc>
          <w:tcPr>
            <w:tcW w:w="620" w:type="dxa"/>
            <w:vAlign w:val="bottom"/>
            <w:tcBorders>
              <w:top w:val="single" w:sz="8" w:color="auto"/>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Products</w:t>
            </w:r>
          </w:p>
        </w:tc>
        <w:tc>
          <w:tcPr>
            <w:tcW w:w="1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10,310,950</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8,289,238</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2,021,712</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24.4%</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Services</w:t>
            </w: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1,389,145</w:t>
            </w:r>
          </w:p>
        </w:tc>
        <w:tc>
          <w:tcPr>
            <w:tcW w:w="1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1,070,695</w:t>
            </w: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318,450</w:t>
            </w:r>
          </w:p>
        </w:tc>
        <w:tc>
          <w:tcPr>
            <w:tcW w:w="1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29.7%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vMerge w:val="continue"/>
          </w:tcPr>
          <w:p>
            <w:pPr>
              <w:spacing w:after="0"/>
              <w:rPr>
                <w:sz w:val="14"/>
                <w:szCs w:val="14"/>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4"/>
                <w:szCs w:val="14"/>
                <w:color w:val="auto"/>
              </w:rPr>
              <w:t>Total revenues</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11,700,095</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9,359,933</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2,340,162</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25.0%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vMerge w:val="continue"/>
          </w:tcPr>
          <w:p>
            <w:pPr>
              <w:spacing w:after="0"/>
              <w:rPr>
                <w:sz w:val="14"/>
                <w:szCs w:val="14"/>
                <w:color w:val="auto"/>
              </w:rPr>
            </w:pPr>
          </w:p>
        </w:tc>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Cost of goods</w:t>
            </w: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9,395,982</w:t>
            </w:r>
          </w:p>
        </w:tc>
        <w:tc>
          <w:tcPr>
            <w:tcW w:w="1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7,605,931</w:t>
            </w: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1,790,051</w:t>
            </w:r>
          </w:p>
        </w:tc>
        <w:tc>
          <w:tcPr>
            <w:tcW w:w="1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23.5%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4"/>
                <w:szCs w:val="14"/>
                <w:color w:val="auto"/>
              </w:rPr>
              <w:t>Cost of services</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810,596</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648,773</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161,823</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24.9%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vMerge w:val="continue"/>
          </w:tcPr>
          <w:p>
            <w:pPr>
              <w:spacing w:after="0"/>
              <w:rPr>
                <w:sz w:val="14"/>
                <w:szCs w:val="14"/>
                <w:color w:val="auto"/>
              </w:rPr>
            </w:pPr>
          </w:p>
        </w:tc>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Gross profit</w:t>
            </w: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1,493,517</w:t>
            </w:r>
          </w:p>
        </w:tc>
        <w:tc>
          <w:tcPr>
            <w:tcW w:w="1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1,105,229</w:t>
            </w: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388,288</w:t>
            </w:r>
          </w:p>
        </w:tc>
        <w:tc>
          <w:tcPr>
            <w:tcW w:w="1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35.1%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1,081,197</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918,090</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163,107</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4"/>
                <w:szCs w:val="14"/>
                <w:color w:val="auto"/>
              </w:rPr>
              <w:t>Operating income</w:t>
            </w: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3600" w:type="dxa"/>
            <w:vAlign w:val="bottom"/>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412,320</w:t>
            </w:r>
          </w:p>
        </w:tc>
        <w:tc>
          <w:tcPr>
            <w:tcW w:w="1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187,139</w:t>
            </w: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225,181</w:t>
            </w:r>
          </w:p>
        </w:tc>
        <w:tc>
          <w:tcPr>
            <w:tcW w:w="1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120.3%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4"/>
                <w:szCs w:val="14"/>
                <w:color w:val="auto"/>
              </w:rPr>
              <w:t>Interest expense, net</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106,532</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118,776</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(12,244)</w:t>
            </w:r>
          </w:p>
        </w:tc>
        <w:tc>
          <w:tcPr>
            <w:tcW w:w="260" w:type="dxa"/>
            <w:vAlign w:val="bottom"/>
          </w:tcPr>
          <w:p>
            <w:pPr>
              <w:spacing w:after="0"/>
              <w:rPr>
                <w:sz w:val="14"/>
                <w:szCs w:val="14"/>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(10.3)%</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Income from continuing operations before income taxes</w:t>
            </w:r>
          </w:p>
        </w:tc>
        <w:tc>
          <w:tcPr>
            <w:tcW w:w="140" w:type="dxa"/>
            <w:vAlign w:val="bottom"/>
            <w:tcBorders>
              <w:top w:val="single" w:sz="8" w:color="auto"/>
            </w:tcBorders>
            <w:shd w:val="clear" w:color="auto" w:fill="CFF0FC"/>
          </w:tcPr>
          <w:p>
            <w:pPr>
              <w:spacing w:after="0"/>
              <w:rPr>
                <w:sz w:val="14"/>
                <w:szCs w:val="14"/>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305,788</w:t>
            </w:r>
          </w:p>
        </w:tc>
        <w:tc>
          <w:tcPr>
            <w:tcW w:w="160" w:type="dxa"/>
            <w:vAlign w:val="bottom"/>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spacing w:after="0"/>
              <w:rPr>
                <w:sz w:val="14"/>
                <w:szCs w:val="14"/>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68,363</w:t>
            </w:r>
          </w:p>
        </w:tc>
        <w:tc>
          <w:tcPr>
            <w:tcW w:w="16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237,425</w:t>
            </w:r>
          </w:p>
        </w:tc>
        <w:tc>
          <w:tcPr>
            <w:tcW w:w="160" w:type="dxa"/>
            <w:vAlign w:val="bottom"/>
            <w:shd w:val="clear" w:color="auto" w:fill="CFF0FC"/>
          </w:tcPr>
          <w:p>
            <w:pPr>
              <w:spacing w:after="0"/>
              <w:rPr>
                <w:sz w:val="14"/>
                <w:szCs w:val="14"/>
                <w:color w:val="auto"/>
              </w:rPr>
            </w:pPr>
          </w:p>
        </w:tc>
        <w:tc>
          <w:tcPr>
            <w:tcW w:w="260" w:type="dxa"/>
            <w:vAlign w:val="bottom"/>
            <w:tcBorders>
              <w:top w:val="single" w:sz="8" w:color="auto"/>
            </w:tcBorders>
            <w:shd w:val="clear" w:color="auto" w:fill="CFF0FC"/>
          </w:tcPr>
          <w:p>
            <w:pPr>
              <w:spacing w:after="0"/>
              <w:rPr>
                <w:sz w:val="14"/>
                <w:szCs w:val="14"/>
                <w:color w:val="auto"/>
              </w:rPr>
            </w:pPr>
          </w:p>
        </w:tc>
        <w:tc>
          <w:tcPr>
            <w:tcW w:w="620" w:type="dxa"/>
            <w:vAlign w:val="bottom"/>
            <w:tcBorders>
              <w:top w:val="single" w:sz="8" w:color="auto"/>
            </w:tcBorders>
            <w:shd w:val="clear" w:color="auto" w:fill="CFF0FC"/>
          </w:tcPr>
          <w:p>
            <w:pPr>
              <w:ind w:left="360"/>
              <w:spacing w:after="0"/>
              <w:rPr>
                <w:sz w:val="20"/>
                <w:szCs w:val="20"/>
                <w:color w:val="auto"/>
              </w:rPr>
            </w:pPr>
            <w:r>
              <w:rPr>
                <w:rFonts w:ascii="Times New Roman" w:cs="Times New Roman" w:eastAsia="Times New Roman" w:hAnsi="Times New Roman"/>
                <w:sz w:val="14"/>
                <w:szCs w:val="14"/>
                <w:color w:val="auto"/>
                <w:w w:val="96"/>
              </w:rPr>
              <w:t>n.m.</w:t>
            </w:r>
          </w:p>
        </w:tc>
        <w:tc>
          <w:tcPr>
            <w:tcW w:w="2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4"/>
                <w:szCs w:val="14"/>
                <w:color w:val="auto"/>
              </w:rPr>
              <w:t>Income tax expense</w:t>
            </w: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44,099</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13,118</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30,981</w:t>
            </w:r>
          </w:p>
        </w:tc>
        <w:tc>
          <w:tcPr>
            <w:tcW w:w="1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color w:val="auto"/>
                <w:w w:val="96"/>
              </w:rPr>
              <w:t>n.m.</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income from continuing operations</w:t>
            </w:r>
          </w:p>
        </w:tc>
        <w:tc>
          <w:tcPr>
            <w:tcW w:w="14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261,689</w:t>
            </w: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55,245</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206,444</w:t>
            </w:r>
          </w:p>
        </w:tc>
        <w:tc>
          <w:tcPr>
            <w:tcW w:w="1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2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vMerge w:val="continue"/>
          </w:tcPr>
          <w:p>
            <w:pPr>
              <w:spacing w:after="0"/>
              <w:rPr>
                <w:sz w:val="14"/>
                <w:szCs w:val="14"/>
                <w:color w:val="auto"/>
              </w:rPr>
            </w:pPr>
          </w:p>
        </w:tc>
        <w:tc>
          <w:tcPr>
            <w:tcW w:w="3600" w:type="dxa"/>
            <w:vAlign w:val="bottom"/>
          </w:tcPr>
          <w:p>
            <w:pPr>
              <w:spacing w:after="0" w:line="163" w:lineRule="exact"/>
              <w:rPr>
                <w:sz w:val="20"/>
                <w:szCs w:val="20"/>
                <w:color w:val="auto"/>
              </w:rPr>
            </w:pPr>
            <w:r>
              <w:rPr>
                <w:rFonts w:ascii="Times New Roman" w:cs="Times New Roman" w:eastAsia="Times New Roman" w:hAnsi="Times New Roman"/>
                <w:sz w:val="14"/>
                <w:szCs w:val="14"/>
                <w:color w:val="auto"/>
              </w:rPr>
              <w:t xml:space="preserve">Adjusted EBITDA </w:t>
            </w:r>
            <w:r>
              <w:rPr>
                <w:rFonts w:ascii="Times New Roman" w:cs="Times New Roman" w:eastAsia="Times New Roman" w:hAnsi="Times New Roman"/>
                <w:sz w:val="18"/>
                <w:szCs w:val="18"/>
                <w:color w:val="auto"/>
                <w:vertAlign w:val="superscript"/>
              </w:rPr>
              <w:t>(1)</w:t>
            </w:r>
          </w:p>
        </w:tc>
        <w:tc>
          <w:tcPr>
            <w:tcW w:w="1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623,025</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434,022</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189,003</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3248660</wp:posOffset>
            </wp:positionH>
            <wp:positionV relativeFrom="paragraph">
              <wp:posOffset>-1267460</wp:posOffset>
            </wp:positionV>
            <wp:extent cx="47625" cy="698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-1267460</wp:posOffset>
            </wp:positionV>
            <wp:extent cx="47625" cy="698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4537710</wp:posOffset>
            </wp:positionH>
            <wp:positionV relativeFrom="paragraph">
              <wp:posOffset>-1267460</wp:posOffset>
            </wp:positionV>
            <wp:extent cx="47625" cy="698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5199380</wp:posOffset>
            </wp:positionH>
            <wp:positionV relativeFrom="paragraph">
              <wp:posOffset>-1267460</wp:posOffset>
            </wp:positionV>
            <wp:extent cx="116205" cy="698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16205" cy="6985"/>
                    </a:xfrm>
                    <a:prstGeom prst="rect">
                      <a:avLst/>
                    </a:prstGeom>
                    <a:noFill/>
                  </pic:spPr>
                </pic:pic>
              </a:graphicData>
            </a:graphic>
          </wp:anchor>
        </w:drawing>
        <w:drawing>
          <wp:anchor simplePos="0" relativeHeight="251657728" behindDoc="1" locked="0" layoutInCell="0" allowOverlap="1">
            <wp:simplePos x="0" y="0"/>
            <wp:positionH relativeFrom="column">
              <wp:posOffset>3248660</wp:posOffset>
            </wp:positionH>
            <wp:positionV relativeFrom="paragraph">
              <wp:posOffset>-701675</wp:posOffset>
            </wp:positionV>
            <wp:extent cx="47625" cy="698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-701675</wp:posOffset>
            </wp:positionV>
            <wp:extent cx="47625" cy="698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4537710</wp:posOffset>
            </wp:positionH>
            <wp:positionV relativeFrom="paragraph">
              <wp:posOffset>-701675</wp:posOffset>
            </wp:positionV>
            <wp:extent cx="47625" cy="698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5199380</wp:posOffset>
            </wp:positionH>
            <wp:positionV relativeFrom="paragraph">
              <wp:posOffset>-701675</wp:posOffset>
            </wp:positionV>
            <wp:extent cx="116205" cy="698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16205" cy="6985"/>
                    </a:xfrm>
                    <a:prstGeom prst="rect">
                      <a:avLst/>
                    </a:prstGeom>
                    <a:noFill/>
                  </pic:spPr>
                </pic:pic>
              </a:graphicData>
            </a:graphic>
          </wp:anchor>
        </w:drawing>
        <w:drawing>
          <wp:anchor simplePos="0" relativeHeight="251657728" behindDoc="1" locked="0" layoutInCell="0" allowOverlap="1">
            <wp:simplePos x="0" y="0"/>
            <wp:positionH relativeFrom="column">
              <wp:posOffset>3248660</wp:posOffset>
            </wp:positionH>
            <wp:positionV relativeFrom="paragraph">
              <wp:posOffset>-135890</wp:posOffset>
            </wp:positionV>
            <wp:extent cx="47625" cy="698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-135890</wp:posOffset>
            </wp:positionV>
            <wp:extent cx="47625" cy="698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4537710</wp:posOffset>
            </wp:positionH>
            <wp:positionV relativeFrom="paragraph">
              <wp:posOffset>-135890</wp:posOffset>
            </wp:positionV>
            <wp:extent cx="47625" cy="698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5199380</wp:posOffset>
            </wp:positionH>
            <wp:positionV relativeFrom="paragraph">
              <wp:posOffset>-135890</wp:posOffset>
            </wp:positionV>
            <wp:extent cx="116205" cy="698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16205" cy="6985"/>
                    </a:xfrm>
                    <a:prstGeom prst="rect">
                      <a:avLst/>
                    </a:prstGeom>
                    <a:noFill/>
                  </pic:spPr>
                </pic:pic>
              </a:graphicData>
            </a:graphic>
          </wp:anchor>
        </w:drawing>
      </w:r>
    </w:p>
    <w:p>
      <w:pPr>
        <w:spacing w:after="0" w:line="7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1"/>
          <w:szCs w:val="11"/>
          <w:i w:val="1"/>
          <w:iCs w:val="1"/>
          <w:color w:val="auto"/>
        </w:rPr>
        <w:t>* n.m.: not meaningful</w:t>
      </w:r>
    </w:p>
    <w:p>
      <w:pPr>
        <w:spacing w:after="0" w:line="16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(1) Reconciliation of GAAP to non-GAAP results is provided below under the section entitled “Non-GAAP Financial Measures.”</w:t>
      </w:r>
    </w:p>
    <w:p>
      <w:pPr>
        <w:spacing w:after="0" w:line="183" w:lineRule="exact"/>
        <w:rPr>
          <w:sz w:val="20"/>
          <w:szCs w:val="20"/>
          <w:color w:val="auto"/>
        </w:rPr>
      </w:pPr>
    </w:p>
    <w:p>
      <w:pPr>
        <w:ind w:left="640" w:right="859" w:firstLine="351"/>
        <w:spacing w:after="0" w:line="292" w:lineRule="auto"/>
        <w:rPr>
          <w:sz w:val="20"/>
          <w:szCs w:val="20"/>
          <w:color w:val="auto"/>
        </w:rPr>
      </w:pPr>
      <w:r>
        <w:rPr>
          <w:rFonts w:ascii="Times New Roman" w:cs="Times New Roman" w:eastAsia="Times New Roman" w:hAnsi="Times New Roman"/>
          <w:sz w:val="14"/>
          <w:szCs w:val="14"/>
          <w:color w:val="auto"/>
        </w:rPr>
        <w:t>The following discussion of our results of operations should be read in conjunction with the foregoing table summarizing our consolidated results of operations.</w:t>
      </w:r>
    </w:p>
    <w:p>
      <w:pPr>
        <w:spacing w:after="0" w:line="1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Revenues</w:t>
      </w:r>
    </w:p>
    <w:p>
      <w:pPr>
        <w:spacing w:after="0" w:line="99" w:lineRule="exact"/>
        <w:rPr>
          <w:sz w:val="20"/>
          <w:szCs w:val="20"/>
          <w:color w:val="auto"/>
        </w:rPr>
      </w:pPr>
    </w:p>
    <w:p>
      <w:pPr>
        <w:ind w:left="640" w:right="679" w:firstLine="351"/>
        <w:spacing w:after="0" w:line="274" w:lineRule="auto"/>
        <w:rPr>
          <w:sz w:val="20"/>
          <w:szCs w:val="20"/>
          <w:color w:val="auto"/>
        </w:rPr>
      </w:pPr>
      <w:r>
        <w:rPr>
          <w:rFonts w:ascii="Times New Roman" w:cs="Times New Roman" w:eastAsia="Times New Roman" w:hAnsi="Times New Roman"/>
          <w:sz w:val="14"/>
          <w:szCs w:val="14"/>
          <w:color w:val="auto"/>
        </w:rPr>
        <w:t>Revenues were $11,700.1 million for the nine months ended September 30, 2026, as compared with $9,359.9 million for the nine months ended September 30, 2025, an increase of $2,340.2 million or 25.0%. The increase resulted from growth in our Pharmacy Solutions and Provider Services segments. See additional discussion in “—Segment Results of Operations” below.</w:t>
      </w:r>
    </w:p>
    <w:p>
      <w:pPr>
        <w:spacing w:after="0" w:line="13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Cost of Goods</w:t>
      </w:r>
    </w:p>
    <w:p>
      <w:pPr>
        <w:spacing w:after="0" w:line="99" w:lineRule="exact"/>
        <w:rPr>
          <w:sz w:val="20"/>
          <w:szCs w:val="20"/>
          <w:color w:val="auto"/>
        </w:rPr>
      </w:pPr>
    </w:p>
    <w:p>
      <w:pPr>
        <w:ind w:left="640" w:right="679" w:firstLine="351"/>
        <w:spacing w:after="0" w:line="274" w:lineRule="auto"/>
        <w:rPr>
          <w:sz w:val="20"/>
          <w:szCs w:val="20"/>
          <w:color w:val="auto"/>
        </w:rPr>
      </w:pPr>
      <w:r>
        <w:rPr>
          <w:rFonts w:ascii="Times New Roman" w:cs="Times New Roman" w:eastAsia="Times New Roman" w:hAnsi="Times New Roman"/>
          <w:sz w:val="14"/>
          <w:szCs w:val="14"/>
          <w:color w:val="auto"/>
        </w:rPr>
        <w:t>Cost of goods was $9,396.0 million for the nine months ended September 30, 2026, as compared with $7,605.9 million for the nine months ended September 30, 2025, an increase of $1,790.1 million or 23.5%. The increase resulted from an increase in Pharmacy Solutions cost of goods. See additional discussion in “—Segment Results of Operations” below.</w:t>
      </w:r>
    </w:p>
    <w:p>
      <w:pPr>
        <w:spacing w:after="0" w:line="13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Cost of Services</w:t>
      </w:r>
    </w:p>
    <w:p>
      <w:pPr>
        <w:spacing w:after="0" w:line="99" w:lineRule="exact"/>
        <w:rPr>
          <w:sz w:val="20"/>
          <w:szCs w:val="20"/>
          <w:color w:val="auto"/>
        </w:rPr>
      </w:pPr>
    </w:p>
    <w:p>
      <w:pPr>
        <w:jc w:val="both"/>
        <w:ind w:left="640" w:right="859" w:firstLine="351"/>
        <w:spacing w:after="0" w:line="274" w:lineRule="auto"/>
        <w:rPr>
          <w:sz w:val="20"/>
          <w:szCs w:val="20"/>
          <w:color w:val="auto"/>
        </w:rPr>
      </w:pPr>
      <w:r>
        <w:rPr>
          <w:rFonts w:ascii="Times New Roman" w:cs="Times New Roman" w:eastAsia="Times New Roman" w:hAnsi="Times New Roman"/>
          <w:sz w:val="14"/>
          <w:szCs w:val="14"/>
          <w:color w:val="auto"/>
        </w:rPr>
        <w:t>Cost of services was $810.6 million for the nine months ended September 30, 2026, as compared with $648.8 million for the nine months ended September 30, 2025, an increase of $161.8 million or 24.9%. The increase resulted from an increase in Provider Services cost of services. See additional discussion in “—Segment Results of Operations” below.</w:t>
      </w:r>
    </w:p>
    <w:p>
      <w:pPr>
        <w:spacing w:after="0" w:line="13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Selling, General, and Administrative Expenses</w:t>
      </w:r>
    </w:p>
    <w:p>
      <w:pPr>
        <w:spacing w:after="0" w:line="99" w:lineRule="exact"/>
        <w:rPr>
          <w:sz w:val="20"/>
          <w:szCs w:val="20"/>
          <w:color w:val="auto"/>
        </w:rPr>
      </w:pPr>
    </w:p>
    <w:p>
      <w:pPr>
        <w:ind w:left="640" w:right="819" w:firstLine="351"/>
        <w:spacing w:after="0" w:line="274" w:lineRule="auto"/>
        <w:rPr>
          <w:sz w:val="20"/>
          <w:szCs w:val="20"/>
          <w:color w:val="auto"/>
        </w:rPr>
      </w:pPr>
      <w:r>
        <w:rPr>
          <w:rFonts w:ascii="Times New Roman" w:cs="Times New Roman" w:eastAsia="Times New Roman" w:hAnsi="Times New Roman"/>
          <w:sz w:val="14"/>
          <w:szCs w:val="14"/>
          <w:color w:val="auto"/>
        </w:rPr>
        <w:t>Selling, general, and administrative expenses were $1,081.2 million for the nine months ended September 30, 2026, as compared with $918.1 million for the nine months ended September 30, 2025, an increase of $163.1 million or 17.8%. The increase primarily resulted from the following segment activity and factors:</w:t>
      </w:r>
    </w:p>
    <w:p>
      <w:pPr>
        <w:spacing w:after="0" w:line="50" w:lineRule="exact"/>
        <w:rPr>
          <w:sz w:val="20"/>
          <w:szCs w:val="20"/>
          <w:color w:val="auto"/>
        </w:rPr>
      </w:pPr>
    </w:p>
    <w:p>
      <w:pPr>
        <w:ind w:left="1340" w:right="719" w:hanging="352"/>
        <w:spacing w:after="0" w:line="274" w:lineRule="auto"/>
        <w:tabs>
          <w:tab w:leader="none" w:pos="13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of $162.1 million, or 17.7%, on consolidated 2025 selling, general, and administrative expenses, as a result of growth in our Pharmacy Solutions and Provider Services segments. See additional discussion in “—Segment Results of Operations” below;</w:t>
      </w:r>
    </w:p>
    <w:p>
      <w:pPr>
        <w:spacing w:after="0" w:line="50" w:lineRule="exact"/>
        <w:rPr>
          <w:rFonts w:ascii="Times New Roman" w:cs="Times New Roman" w:eastAsia="Times New Roman" w:hAnsi="Times New Roman"/>
          <w:sz w:val="14"/>
          <w:szCs w:val="14"/>
          <w:color w:val="auto"/>
        </w:rPr>
      </w:pPr>
    </w:p>
    <w:p>
      <w:pPr>
        <w:ind w:left="1340" w:right="759" w:hanging="352"/>
        <w:spacing w:after="0" w:line="292" w:lineRule="auto"/>
        <w:tabs>
          <w:tab w:leader="none" w:pos="13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of $4.3 million, or 0.5%, on consolidated 2025 selling, general, and administrative expenses, due to non-cash share-based compensation related to the equity awards granted to management and certain full-time employees; and,</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2" w:right="1440" w:bottom="1440" w:gutter="0" w:footer="0" w:header="0"/>
        </w:sectPr>
      </w:pPr>
    </w:p>
    <w:bookmarkStart w:id="35" w:name="page36"/>
    <w:bookmarkEnd w:id="35"/>
    <w:p>
      <w:pPr>
        <w:ind w:left="1340" w:right="699" w:hanging="352"/>
        <w:spacing w:after="0" w:line="274" w:lineRule="auto"/>
        <w:tabs>
          <w:tab w:leader="none" w:pos="13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of $15.9 million, or 1.7%, on consolidated 2025 selling, general, and administrative expenses, as a result of an increase in investments in information technology, positions to support growth within the business, and certain public company costs incurred year-over-year; offset by,</w:t>
      </w:r>
    </w:p>
    <w:p>
      <w:pPr>
        <w:spacing w:after="0" w:line="50" w:lineRule="exact"/>
        <w:rPr>
          <w:rFonts w:ascii="Times New Roman" w:cs="Times New Roman" w:eastAsia="Times New Roman" w:hAnsi="Times New Roman"/>
          <w:sz w:val="14"/>
          <w:szCs w:val="14"/>
          <w:color w:val="auto"/>
        </w:rPr>
      </w:pPr>
    </w:p>
    <w:p>
      <w:pPr>
        <w:ind w:left="1340" w:right="819" w:hanging="352"/>
        <w:spacing w:after="0" w:line="292" w:lineRule="auto"/>
        <w:tabs>
          <w:tab w:leader="none" w:pos="13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decrease of $19.2 million, or 2.1%, on consolidated 2025 selling, general, and administrative expenses, as a result of a decrease in acquisition, integration, and transaction-related costs year-over-year.</w:t>
      </w:r>
    </w:p>
    <w:p>
      <w:pPr>
        <w:spacing w:after="0" w:line="1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Interest Expense, net</w:t>
      </w:r>
    </w:p>
    <w:p>
      <w:pPr>
        <w:spacing w:after="0" w:line="99" w:lineRule="exact"/>
        <w:rPr>
          <w:sz w:val="20"/>
          <w:szCs w:val="20"/>
          <w:color w:val="auto"/>
        </w:rPr>
      </w:pPr>
    </w:p>
    <w:p>
      <w:pPr>
        <w:ind w:left="640" w:right="699" w:firstLine="351"/>
        <w:spacing w:after="0" w:line="265" w:lineRule="auto"/>
        <w:rPr>
          <w:sz w:val="20"/>
          <w:szCs w:val="20"/>
          <w:color w:val="auto"/>
        </w:rPr>
      </w:pPr>
      <w:r>
        <w:rPr>
          <w:rFonts w:ascii="Times New Roman" w:cs="Times New Roman" w:eastAsia="Times New Roman" w:hAnsi="Times New Roman"/>
          <w:sz w:val="14"/>
          <w:szCs w:val="14"/>
          <w:color w:val="auto"/>
        </w:rPr>
        <w:t>Interest expense, net was $106.5 million for the nine months ended September 30, 2026, as compared with $118.8 million for the nine months ended September 30, 2025, a decrease of $12.2 million or 10.3%. The decrease primarily resulted from a decrease in both the variable-rate and applicable margin for the nine months ended September 30, 2026 as compared to the prior period and lower outstanding term debt as compared to the prior period, and was partially offset by a $11.8 million decrease in interest income received related to cash flow hedges of interest rate risk.</w:t>
      </w:r>
    </w:p>
    <w:p>
      <w:pPr>
        <w:spacing w:after="0" w:line="14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Income Tax Expense</w:t>
      </w:r>
    </w:p>
    <w:p>
      <w:pPr>
        <w:spacing w:after="0" w:line="99" w:lineRule="exact"/>
        <w:rPr>
          <w:sz w:val="20"/>
          <w:szCs w:val="20"/>
          <w:color w:val="auto"/>
        </w:rPr>
      </w:pPr>
    </w:p>
    <w:p>
      <w:pPr>
        <w:ind w:left="640" w:right="739" w:firstLine="351"/>
        <w:spacing w:after="0" w:line="262" w:lineRule="auto"/>
        <w:rPr>
          <w:sz w:val="20"/>
          <w:szCs w:val="20"/>
          <w:color w:val="auto"/>
        </w:rPr>
      </w:pPr>
      <w:r>
        <w:rPr>
          <w:rFonts w:ascii="Times New Roman" w:cs="Times New Roman" w:eastAsia="Times New Roman" w:hAnsi="Times New Roman"/>
          <w:sz w:val="14"/>
          <w:szCs w:val="14"/>
          <w:color w:val="auto"/>
        </w:rPr>
        <w:t>Income tax expense was $44.1 million for the nine months ended September 30, 2026, as compared with $13.1 million for the nine months ended September 30, 2025. The $31.0 million increase in the income tax expense is primarily driven by the increase in pre-tax book income for the nine months ended September 30, 2026 as compared to the nine months ended September 30, 2025, and an increase in the effective tax rate for the nine months ended September 30, 2026 of 14.4% compared to 19.2% for the nine months ended September 30, 2025. The lower effective tax rate was primarily driven by higher excess tax benefits recognized on share-based compensation awards during 2026. These favorable impacts were partially offset by limitations on the deductibility of certain executive compensation.</w:t>
      </w:r>
    </w:p>
    <w:p>
      <w:pPr>
        <w:spacing w:after="0" w:line="59" w:lineRule="exact"/>
        <w:rPr>
          <w:sz w:val="20"/>
          <w:szCs w:val="20"/>
          <w:color w:val="auto"/>
        </w:rPr>
      </w:pPr>
    </w:p>
    <w:p>
      <w:pPr>
        <w:ind w:left="640" w:right="699" w:firstLine="351"/>
        <w:spacing w:after="0" w:line="274" w:lineRule="auto"/>
        <w:rPr>
          <w:sz w:val="20"/>
          <w:szCs w:val="20"/>
          <w:color w:val="auto"/>
        </w:rPr>
      </w:pPr>
      <w:r>
        <w:rPr>
          <w:rFonts w:ascii="Times New Roman" w:cs="Times New Roman" w:eastAsia="Times New Roman" w:hAnsi="Times New Roman"/>
          <w:sz w:val="14"/>
          <w:szCs w:val="14"/>
          <w:color w:val="auto"/>
        </w:rPr>
        <w:t>Excess tax benefits associated with share-based compensation are recorded as discrete tax items in the period in which the related awards vest or are exercised. Accordingly, the amount of such benefits may fluctuate significantly from period to period based on the Company’s stock price and employee vesting and exercise activity.</w:t>
      </w:r>
    </w:p>
    <w:p>
      <w:pPr>
        <w:spacing w:after="0" w:line="13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Net Income from Continuing Operations</w:t>
      </w:r>
    </w:p>
    <w:p>
      <w:pPr>
        <w:spacing w:after="0" w:line="99" w:lineRule="exact"/>
        <w:rPr>
          <w:sz w:val="20"/>
          <w:szCs w:val="20"/>
          <w:color w:val="auto"/>
        </w:rPr>
      </w:pPr>
    </w:p>
    <w:p>
      <w:pPr>
        <w:ind w:left="640" w:right="759" w:firstLine="351"/>
        <w:spacing w:after="0" w:line="268" w:lineRule="auto"/>
        <w:rPr>
          <w:sz w:val="20"/>
          <w:szCs w:val="20"/>
          <w:color w:val="auto"/>
        </w:rPr>
      </w:pPr>
      <w:r>
        <w:rPr>
          <w:rFonts w:ascii="Times New Roman" w:cs="Times New Roman" w:eastAsia="Times New Roman" w:hAnsi="Times New Roman"/>
          <w:sz w:val="14"/>
          <w:szCs w:val="14"/>
          <w:color w:val="auto"/>
        </w:rPr>
        <w:t>Net income from continuing operations was $261.7 million for the nine months ended September 30, 2026, as compared with $55.2 million for the nine months ended September 30, 2025, an increase of $206.4 million. The increase in net income from continuing operations is primarily attributable to the increase in gross profit and the aforementioned decrease in interest expense, net, partially offset by an increase in selling, general, and administrative expenses and income tax expense.</w:t>
      </w:r>
    </w:p>
    <w:p>
      <w:pPr>
        <w:spacing w:after="0" w:line="14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 xml:space="preserve">Adjusted EBITDA </w:t>
      </w:r>
      <w:r>
        <w:rPr>
          <w:rFonts w:ascii="Times New Roman" w:cs="Times New Roman" w:eastAsia="Times New Roman" w:hAnsi="Times New Roman"/>
          <w:sz w:val="19"/>
          <w:szCs w:val="19"/>
          <w:i w:val="1"/>
          <w:iCs w:val="1"/>
          <w:color w:val="auto"/>
          <w:vertAlign w:val="superscript"/>
        </w:rPr>
        <w:t>(1)</w:t>
      </w:r>
    </w:p>
    <w:p>
      <w:pPr>
        <w:spacing w:after="0" w:line="41" w:lineRule="exact"/>
        <w:rPr>
          <w:sz w:val="20"/>
          <w:szCs w:val="20"/>
          <w:color w:val="auto"/>
        </w:rPr>
      </w:pPr>
    </w:p>
    <w:p>
      <w:pPr>
        <w:ind w:left="640" w:right="719" w:firstLine="351"/>
        <w:spacing w:after="0" w:line="274" w:lineRule="auto"/>
        <w:rPr>
          <w:sz w:val="20"/>
          <w:szCs w:val="20"/>
          <w:color w:val="auto"/>
        </w:rPr>
      </w:pPr>
      <w:r>
        <w:rPr>
          <w:rFonts w:ascii="Times New Roman" w:cs="Times New Roman" w:eastAsia="Times New Roman" w:hAnsi="Times New Roman"/>
          <w:sz w:val="14"/>
          <w:szCs w:val="14"/>
          <w:color w:val="auto"/>
        </w:rPr>
        <w:t>Adjusted EBITDA was $623.0 million for the nine months ended September 30, 2026, as compared with $434.0 million for the nine months ended September 30, 2025, an increase of $189.0 million or 43.5%. The increase primarily resulted from the following segment activity and factors:</w:t>
      </w:r>
    </w:p>
    <w:p>
      <w:pPr>
        <w:spacing w:after="0" w:line="50" w:lineRule="exact"/>
        <w:rPr>
          <w:sz w:val="20"/>
          <w:szCs w:val="20"/>
          <w:color w:val="auto"/>
        </w:rPr>
      </w:pPr>
    </w:p>
    <w:p>
      <w:pPr>
        <w:jc w:val="both"/>
        <w:ind w:left="1340" w:right="739" w:hanging="352"/>
        <w:spacing w:after="0" w:line="274" w:lineRule="auto"/>
        <w:tabs>
          <w:tab w:leader="none" w:pos="1340" w:val="left"/>
        </w:tabs>
        <w:numPr>
          <w:ilvl w:val="1"/>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of $221.3 million, or 51.0%, on consolidated 2025 Adjusted EBITDA, as a result of growth in our Pharmacy Solutions and Provider Services segments. See additional discussion in “—Segment Results of Operations” below; offset by</w:t>
      </w:r>
    </w:p>
    <w:p>
      <w:pPr>
        <w:spacing w:after="0" w:line="50" w:lineRule="exact"/>
        <w:rPr>
          <w:rFonts w:ascii="Times New Roman" w:cs="Times New Roman" w:eastAsia="Times New Roman" w:hAnsi="Times New Roman"/>
          <w:sz w:val="14"/>
          <w:szCs w:val="14"/>
          <w:color w:val="auto"/>
        </w:rPr>
      </w:pPr>
    </w:p>
    <w:p>
      <w:pPr>
        <w:ind w:left="1340" w:right="819" w:hanging="352"/>
        <w:spacing w:after="0" w:line="292" w:lineRule="auto"/>
        <w:tabs>
          <w:tab w:leader="none" w:pos="1340" w:val="left"/>
        </w:tabs>
        <w:numPr>
          <w:ilvl w:val="1"/>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decrease of $32.3 million, or 7.5%, on consolidated 2025 Adjusted EBITDA, as a result of increases in investments in information technology, positions to support growth within the business, and certain public company costs incurred.</w:t>
      </w:r>
    </w:p>
    <w:p>
      <w:pPr>
        <w:spacing w:after="0" w:line="113" w:lineRule="exact"/>
        <w:rPr>
          <w:rFonts w:ascii="Times New Roman" w:cs="Times New Roman" w:eastAsia="Times New Roman" w:hAnsi="Times New Roman"/>
          <w:sz w:val="14"/>
          <w:szCs w:val="14"/>
          <w:color w:val="auto"/>
        </w:rPr>
      </w:pPr>
    </w:p>
    <w:p>
      <w:pPr>
        <w:ind w:left="780" w:hanging="142"/>
        <w:spacing w:after="0"/>
        <w:tabs>
          <w:tab w:leader="none" w:pos="780" w:val="left"/>
        </w:tabs>
        <w:numPr>
          <w:ilvl w:val="0"/>
          <w:numId w:val="1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Reconciliation of GAAP to non-GAAP results is provided below under the section entitled “Non-GAAP Financial Measures.”</w:t>
      </w: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36" w:name="page37"/>
    <w:bookmarkEnd w:id="36"/>
    <w:p>
      <w:pPr>
        <w:ind w:left="640"/>
        <w:spacing w:after="0"/>
        <w:rPr>
          <w:sz w:val="20"/>
          <w:szCs w:val="20"/>
          <w:color w:val="auto"/>
        </w:rPr>
      </w:pPr>
      <w:r>
        <w:rPr>
          <w:rFonts w:ascii="Times New Roman" w:cs="Times New Roman" w:eastAsia="Times New Roman" w:hAnsi="Times New Roman"/>
          <w:sz w:val="14"/>
          <w:szCs w:val="14"/>
          <w:b w:val="1"/>
          <w:bCs w:val="1"/>
          <w:u w:val="single" w:color="auto"/>
          <w:color w:val="auto"/>
        </w:rPr>
        <w:t>Segment Results of Operations</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Pharmacy Solutions Segment</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2026 Compared to Three Months Ended September 30, 2025</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The following table sets forth, for the periods indicated, our segment results of operations for Pharmacy Solutions.</w:t>
      </w:r>
    </w:p>
    <w:p>
      <w:pPr>
        <w:spacing w:after="0" w:line="178" w:lineRule="exact"/>
        <w:rPr>
          <w:sz w:val="20"/>
          <w:szCs w:val="20"/>
          <w:color w:val="auto"/>
        </w:rPr>
      </w:pPr>
    </w:p>
    <w:tbl>
      <w:tblPr>
        <w:tblLayout w:type="fixed"/>
        <w:tblInd w:w="640" w:type="dxa"/>
        <w:tblCellMar>
          <w:top w:w="0" w:type="dxa"/>
          <w:left w:w="0" w:type="dxa"/>
          <w:bottom w:w="0" w:type="dxa"/>
          <w:right w:w="0" w:type="dxa"/>
        </w:tblCellMar>
      </w:tblPr>
      <w:tr>
        <w:trPr>
          <w:trHeight w:val="137"/>
        </w:trPr>
        <w:tc>
          <w:tcPr>
            <w:tcW w:w="394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i w:val="1"/>
                <w:iCs w:val="1"/>
                <w:color w:val="auto"/>
              </w:rPr>
              <w:t>($ in thousands, except Business Metrics)</w:t>
            </w: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0" w:type="dxa"/>
            <w:vAlign w:val="bottom"/>
            <w:tcBorders>
              <w:bottom w:val="single" w:sz="8" w:color="auto"/>
            </w:tcBorders>
            <w:gridSpan w:val="6"/>
          </w:tcPr>
          <w:p>
            <w:pPr>
              <w:ind w:left="260"/>
              <w:spacing w:after="0"/>
              <w:rPr>
                <w:sz w:val="20"/>
                <w:szCs w:val="20"/>
                <w:color w:val="auto"/>
              </w:rPr>
            </w:pPr>
            <w:r>
              <w:rPr>
                <w:rFonts w:ascii="Times New Roman" w:cs="Times New Roman" w:eastAsia="Times New Roman" w:hAnsi="Times New Roman"/>
                <w:sz w:val="11"/>
                <w:szCs w:val="11"/>
                <w:b w:val="1"/>
                <w:bCs w:val="1"/>
                <w:color w:val="auto"/>
              </w:rPr>
              <w:t>Pharmacy Solutions</w:t>
            </w:r>
          </w:p>
        </w:tc>
        <w:tc>
          <w:tcPr>
            <w:tcW w:w="5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394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640" w:type="dxa"/>
            <w:vAlign w:val="bottom"/>
            <w:gridSpan w:val="4"/>
          </w:tcPr>
          <w:p>
            <w:pPr>
              <w:jc w:val="right"/>
              <w:ind w:right="91"/>
              <w:spacing w:after="0" w:line="101" w:lineRule="exact"/>
              <w:rPr>
                <w:sz w:val="20"/>
                <w:szCs w:val="20"/>
                <w:color w:val="auto"/>
              </w:rPr>
            </w:pPr>
            <w:r>
              <w:rPr>
                <w:rFonts w:ascii="Times New Roman" w:cs="Times New Roman" w:eastAsia="Times New Roman" w:hAnsi="Times New Roman"/>
                <w:sz w:val="11"/>
                <w:szCs w:val="11"/>
                <w:b w:val="1"/>
                <w:bCs w:val="1"/>
                <w:color w:val="auto"/>
              </w:rPr>
              <w:t>For the Three Months Ended</w:t>
            </w: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gridSpan w:val="3"/>
            <w:vMerge w:val="restart"/>
          </w:tcPr>
          <w:p>
            <w:pPr>
              <w:ind w:left="56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9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640" w:type="dxa"/>
            <w:vAlign w:val="bottom"/>
            <w:tcBorders>
              <w:bottom w:val="single" w:sz="8" w:color="auto"/>
            </w:tcBorders>
            <w:gridSpan w:val="4"/>
          </w:tcPr>
          <w:p>
            <w:pPr>
              <w:jc w:val="right"/>
              <w:ind w:right="471"/>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1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gridSpan w:val="3"/>
            <w:vMerge w:val="continue"/>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9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jc w:val="right"/>
              <w:ind w:right="212"/>
              <w:spacing w:after="0" w:line="109" w:lineRule="exact"/>
              <w:rPr>
                <w:sz w:val="20"/>
                <w:szCs w:val="20"/>
                <w:color w:val="auto"/>
              </w:rPr>
            </w:pPr>
            <w:r>
              <w:rPr>
                <w:rFonts w:ascii="Times New Roman" w:cs="Times New Roman" w:eastAsia="Times New Roman" w:hAnsi="Times New Roman"/>
                <w:sz w:val="11"/>
                <w:szCs w:val="11"/>
                <w:b w:val="1"/>
                <w:bCs w:val="1"/>
                <w:color w:val="auto"/>
              </w:rPr>
              <w:t>2026</w:t>
            </w:r>
          </w:p>
        </w:tc>
        <w:tc>
          <w:tcPr>
            <w:tcW w:w="1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jc w:val="right"/>
              <w:ind w:right="211"/>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1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jc w:val="right"/>
              <w:ind w:right="111"/>
              <w:spacing w:after="0" w:line="109" w:lineRule="exact"/>
              <w:rPr>
                <w:sz w:val="20"/>
                <w:szCs w:val="20"/>
                <w:color w:val="auto"/>
              </w:rPr>
            </w:pPr>
            <w:r>
              <w:rPr>
                <w:rFonts w:ascii="Times New Roman" w:cs="Times New Roman" w:eastAsia="Times New Roman" w:hAnsi="Times New Roman"/>
                <w:sz w:val="11"/>
                <w:szCs w:val="11"/>
                <w:b w:val="1"/>
                <w:bCs w:val="1"/>
                <w:color w:val="auto"/>
              </w:rPr>
              <w:t>Amount</w:t>
            </w:r>
          </w:p>
        </w:tc>
        <w:tc>
          <w:tcPr>
            <w:tcW w:w="16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jc w:val="right"/>
              <w:ind w:right="290"/>
              <w:spacing w:after="0" w:line="109" w:lineRule="exact"/>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Revenues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3,732,428</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2,966,966</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765,462</w:t>
            </w: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25.8%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4"/>
                <w:szCs w:val="14"/>
                <w:color w:val="auto"/>
              </w:rPr>
              <w:t>Cost of goods</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3,416,415</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2,721,314</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695,101</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25.5%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vMerge w:val="continue"/>
          </w:tcPr>
          <w:p>
            <w:pPr>
              <w:spacing w:after="0"/>
              <w:rPr>
                <w:sz w:val="14"/>
                <w:szCs w:val="14"/>
                <w:color w:val="auto"/>
              </w:rPr>
            </w:pPr>
          </w:p>
        </w:tc>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Gross profit</w:t>
            </w: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316,013</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245,652</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70,361</w:t>
            </w: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28.6%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139,833</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131,116</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8,717</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6.6%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vMerge w:val="continue"/>
          </w:tcPr>
          <w:p>
            <w:pPr>
              <w:spacing w:after="0"/>
              <w:rPr>
                <w:sz w:val="14"/>
                <w:szCs w:val="14"/>
                <w:color w:val="auto"/>
              </w:rPr>
            </w:pPr>
          </w:p>
        </w:tc>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Segment operating income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176,180</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114,536</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61,644</w:t>
            </w: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53.8%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vMerge w:val="continue"/>
          </w:tcPr>
          <w:p>
            <w:pPr>
              <w:spacing w:after="0"/>
              <w:rPr>
                <w:sz w:val="14"/>
                <w:szCs w:val="14"/>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4"/>
                <w:szCs w:val="14"/>
                <w:color w:val="auto"/>
              </w:rPr>
              <w:t>Segment EBITDA</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201,980</w:t>
            </w:r>
          </w:p>
        </w:tc>
        <w:tc>
          <w:tcPr>
            <w:tcW w:w="16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140,987</w:t>
            </w:r>
          </w:p>
        </w:tc>
        <w:tc>
          <w:tcPr>
            <w:tcW w:w="16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60,993</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43.3%</w:t>
            </w:r>
          </w:p>
        </w:tc>
        <w:tc>
          <w:tcPr>
            <w:tcW w:w="0" w:type="dxa"/>
            <w:vAlign w:val="bottom"/>
          </w:tcPr>
          <w:p>
            <w:pPr>
              <w:spacing w:after="0"/>
              <w:rPr>
                <w:sz w:val="1"/>
                <w:szCs w:val="1"/>
                <w:color w:val="auto"/>
              </w:rPr>
            </w:pPr>
          </w:p>
        </w:tc>
      </w:tr>
      <w:tr>
        <w:trPr>
          <w:trHeight w:val="163"/>
        </w:trPr>
        <w:tc>
          <w:tcPr>
            <w:tcW w:w="20" w:type="dxa"/>
            <w:vAlign w:val="bottom"/>
            <w:vMerge w:val="restart"/>
          </w:tcPr>
          <w:p>
            <w:pPr>
              <w:spacing w:after="0"/>
              <w:rPr>
                <w:sz w:val="14"/>
                <w:szCs w:val="14"/>
                <w:color w:val="auto"/>
              </w:rPr>
            </w:pPr>
          </w:p>
        </w:tc>
        <w:tc>
          <w:tcPr>
            <w:tcW w:w="392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680" w:type="dxa"/>
            <w:vAlign w:val="bottom"/>
            <w:tcBorders>
              <w:top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680" w:type="dxa"/>
            <w:vAlign w:val="bottom"/>
            <w:tcBorders>
              <w:top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640" w:type="dxa"/>
            <w:vAlign w:val="bottom"/>
            <w:tcBorders>
              <w:top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40" w:type="dxa"/>
            <w:vAlign w:val="bottom"/>
            <w:tcBorders>
              <w:top w:val="single" w:sz="8" w:color="auto"/>
            </w:tcBorders>
            <w:shd w:val="clear" w:color="auto" w:fill="CFF0FC"/>
          </w:tcPr>
          <w:p>
            <w:pPr>
              <w:spacing w:after="0"/>
              <w:rPr>
                <w:sz w:val="14"/>
                <w:szCs w:val="14"/>
                <w:color w:val="auto"/>
              </w:rPr>
            </w:pPr>
          </w:p>
        </w:tc>
        <w:tc>
          <w:tcPr>
            <w:tcW w:w="580" w:type="dxa"/>
            <w:vAlign w:val="bottom"/>
            <w:tcBorders>
              <w:top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4"/>
                <w:szCs w:val="14"/>
                <w:color w:val="auto"/>
              </w:rPr>
              <w:t>Business Metrics:</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Prescriptions dispensed</w:t>
            </w: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10,949,875</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10,793,219</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156,656</w:t>
            </w: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Revenue per script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340.86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274.89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65.97</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24.0%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Gross profit per script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28.86</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22.76</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6.10</w:t>
            </w: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26.8%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3419475</wp:posOffset>
            </wp:positionH>
            <wp:positionV relativeFrom="paragraph">
              <wp:posOffset>-667385</wp:posOffset>
            </wp:positionV>
            <wp:extent cx="47625" cy="698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4025900</wp:posOffset>
            </wp:positionH>
            <wp:positionV relativeFrom="paragraph">
              <wp:posOffset>-667385</wp:posOffset>
            </wp:positionV>
            <wp:extent cx="47625" cy="698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4612640</wp:posOffset>
            </wp:positionH>
            <wp:positionV relativeFrom="paragraph">
              <wp:posOffset>-667385</wp:posOffset>
            </wp:positionV>
            <wp:extent cx="47625" cy="698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5226685</wp:posOffset>
            </wp:positionH>
            <wp:positionV relativeFrom="paragraph">
              <wp:posOffset>-667385</wp:posOffset>
            </wp:positionV>
            <wp:extent cx="88900" cy="698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88900" cy="6985"/>
                    </a:xfrm>
                    <a:prstGeom prst="rect">
                      <a:avLst/>
                    </a:prstGeom>
                    <a:noFill/>
                  </pic:spPr>
                </pic:pic>
              </a:graphicData>
            </a:graphic>
          </wp:anchor>
        </w:drawing>
      </w:r>
    </w:p>
    <w:p>
      <w:pPr>
        <w:spacing w:after="0" w:line="137" w:lineRule="exact"/>
        <w:rPr>
          <w:sz w:val="20"/>
          <w:szCs w:val="20"/>
          <w:color w:val="auto"/>
        </w:rPr>
      </w:pPr>
    </w:p>
    <w:p>
      <w:pPr>
        <w:ind w:left="640" w:right="919" w:firstLine="516"/>
        <w:spacing w:after="0" w:line="292" w:lineRule="auto"/>
        <w:rPr>
          <w:sz w:val="20"/>
          <w:szCs w:val="20"/>
          <w:color w:val="auto"/>
        </w:rPr>
      </w:pPr>
      <w:r>
        <w:rPr>
          <w:rFonts w:ascii="Times New Roman" w:cs="Times New Roman" w:eastAsia="Times New Roman" w:hAnsi="Times New Roman"/>
          <w:sz w:val="14"/>
          <w:szCs w:val="14"/>
          <w:color w:val="auto"/>
        </w:rPr>
        <w:t>The following discussion of our Pharmacy Solutions segment results of operations should be read in conjunction with the foregoing table summarizing our segment results of operations.</w:t>
      </w:r>
    </w:p>
    <w:p>
      <w:pPr>
        <w:spacing w:after="0" w:line="1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Revenues</w:t>
      </w:r>
    </w:p>
    <w:p>
      <w:pPr>
        <w:spacing w:after="0" w:line="99" w:lineRule="exact"/>
        <w:rPr>
          <w:sz w:val="20"/>
          <w:szCs w:val="20"/>
          <w:color w:val="auto"/>
        </w:rPr>
      </w:pPr>
    </w:p>
    <w:p>
      <w:pPr>
        <w:ind w:left="640" w:right="659" w:firstLine="351"/>
        <w:spacing w:after="0" w:line="260" w:lineRule="auto"/>
        <w:rPr>
          <w:sz w:val="20"/>
          <w:szCs w:val="20"/>
          <w:color w:val="auto"/>
        </w:rPr>
      </w:pPr>
      <w:r>
        <w:rPr>
          <w:rFonts w:ascii="Times New Roman" w:cs="Times New Roman" w:eastAsia="Times New Roman" w:hAnsi="Times New Roman"/>
          <w:sz w:val="14"/>
          <w:szCs w:val="14"/>
          <w:color w:val="auto"/>
        </w:rPr>
        <w:t>Revenues were $3,732.4 million for the three months ended September 30, 2026, as compared with $2,967.0 million for the three months ended September 30, 2025, an increase of $765.5 million or 25.8%. The increase primarily resulted from volume growth in prescriptions dispensed within Specialty and Infusion Pharmacy partially offset by a decline in prescriptions dispensed within Home and Community Pharmacy. Revenues attributable to Specialty and Infusion Pharmacy were $3,179.8 million for the three months ended September 30, 2026, as compared with $2,377.0 million for the three months ended September 30, 2025, an increase of $802.8 million or 33.8% attributable to an increase in prescriptions dispensed on certain specialty branded drugs. Revenues attributable to Home and Community Pharmacy were $552.6 million for the three months ended September 30, 2026, as compared with $590.0 million for the three months ended September 30, 2025, a decrease of $37.4 million or 6.3%, primarily attributable to impacts from the Inflation Reduction Act, which has resulted in reductions in federal healthcare spending, including through mandatory Medicare drug price negotiations and rebates, and statutory caps on negotiated prices.</w:t>
      </w:r>
    </w:p>
    <w:p>
      <w:pPr>
        <w:spacing w:after="0" w:line="60" w:lineRule="exact"/>
        <w:rPr>
          <w:sz w:val="20"/>
          <w:szCs w:val="20"/>
          <w:color w:val="auto"/>
        </w:rPr>
      </w:pPr>
    </w:p>
    <w:p>
      <w:pPr>
        <w:ind w:left="640" w:right="1079" w:firstLine="351"/>
        <w:spacing w:after="0" w:line="292" w:lineRule="auto"/>
        <w:rPr>
          <w:sz w:val="20"/>
          <w:szCs w:val="20"/>
          <w:color w:val="auto"/>
        </w:rPr>
      </w:pPr>
      <w:r>
        <w:rPr>
          <w:rFonts w:ascii="Times New Roman" w:cs="Times New Roman" w:eastAsia="Times New Roman" w:hAnsi="Times New Roman"/>
          <w:sz w:val="14"/>
          <w:szCs w:val="14"/>
          <w:color w:val="auto"/>
        </w:rPr>
        <w:t>The increase in revenue per prescription dispensed is due to mix changes year-over-year and a greater relative increase in volume growth in certain specialty brand drugs, which carry a higher revenue per prescription dispensed.</w:t>
      </w:r>
    </w:p>
    <w:p>
      <w:pPr>
        <w:spacing w:after="0" w:line="1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Cost of Goods</w:t>
      </w:r>
    </w:p>
    <w:p>
      <w:pPr>
        <w:spacing w:after="0" w:line="99" w:lineRule="exact"/>
        <w:rPr>
          <w:sz w:val="20"/>
          <w:szCs w:val="20"/>
          <w:color w:val="auto"/>
        </w:rPr>
      </w:pPr>
    </w:p>
    <w:p>
      <w:pPr>
        <w:ind w:left="640" w:right="759" w:firstLine="351"/>
        <w:spacing w:after="0" w:line="274" w:lineRule="auto"/>
        <w:rPr>
          <w:sz w:val="20"/>
          <w:szCs w:val="20"/>
          <w:color w:val="auto"/>
        </w:rPr>
      </w:pPr>
      <w:r>
        <w:rPr>
          <w:rFonts w:ascii="Times New Roman" w:cs="Times New Roman" w:eastAsia="Times New Roman" w:hAnsi="Times New Roman"/>
          <w:sz w:val="14"/>
          <w:szCs w:val="14"/>
          <w:color w:val="auto"/>
        </w:rPr>
        <w:t>Cost of goods was $3,416.4 million for the three months ended September 30, 2026, as compared with $2,721.3 million for the three months ended September 30, 2025, an increase of $695.1 million or 25.5%. The increase primarily resulted from the aforementioned revenue growth in the period as well as an increase in cost per prescription dispensed as a result of mix shift.</w:t>
      </w:r>
    </w:p>
    <w:p>
      <w:pPr>
        <w:spacing w:after="0" w:line="50" w:lineRule="exact"/>
        <w:rPr>
          <w:sz w:val="20"/>
          <w:szCs w:val="20"/>
          <w:color w:val="auto"/>
        </w:rPr>
      </w:pPr>
    </w:p>
    <w:p>
      <w:pPr>
        <w:ind w:left="640" w:right="739" w:firstLine="351"/>
        <w:spacing w:after="0" w:line="268" w:lineRule="auto"/>
        <w:rPr>
          <w:sz w:val="20"/>
          <w:szCs w:val="20"/>
          <w:color w:val="auto"/>
        </w:rPr>
      </w:pPr>
      <w:r>
        <w:rPr>
          <w:rFonts w:ascii="Times New Roman" w:cs="Times New Roman" w:eastAsia="Times New Roman" w:hAnsi="Times New Roman"/>
          <w:sz w:val="14"/>
          <w:szCs w:val="14"/>
          <w:color w:val="auto"/>
        </w:rPr>
        <w:t>Gross profit was $316.0 million for the three months ended September 30, 2026, as compared with $245.7 million for the three months ended September 30, 2025, an increase of $70.4 million or 28.6%. The increase primarily resulted from the aforementioned revenue growth in the period, primarily the result of outsized volume growth as well as mix in certain specialty branded drugs, which have lower margins.</w:t>
      </w:r>
    </w:p>
    <w:p>
      <w:pPr>
        <w:spacing w:after="0" w:line="54" w:lineRule="exact"/>
        <w:rPr>
          <w:sz w:val="20"/>
          <w:szCs w:val="20"/>
          <w:color w:val="auto"/>
        </w:rPr>
      </w:pPr>
    </w:p>
    <w:p>
      <w:pPr>
        <w:ind w:left="640" w:right="839" w:firstLine="351"/>
        <w:spacing w:after="0" w:line="268" w:lineRule="auto"/>
        <w:rPr>
          <w:sz w:val="20"/>
          <w:szCs w:val="20"/>
          <w:color w:val="auto"/>
        </w:rPr>
      </w:pPr>
      <w:r>
        <w:rPr>
          <w:rFonts w:ascii="Times New Roman" w:cs="Times New Roman" w:eastAsia="Times New Roman" w:hAnsi="Times New Roman"/>
          <w:sz w:val="14"/>
          <w:szCs w:val="14"/>
          <w:color w:val="auto"/>
        </w:rPr>
        <w:t>Gross profit margin for the three months ended September 30, 2026 was 8.5% compared to 8.3% for the three months ended September 30, 2025. The increase in gross profit margin is due to mix shift in the Pharmacy Solutions segment with greater relative volume growth in Specialty and Infusion Pharmacy, along with product-level mix shifts and rate changes, partially offset by an increase in the fulfillment cost per script in Home and Community Pharmacy.</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2" w:right="1440" w:bottom="1440" w:gutter="0" w:footer="0" w:header="0"/>
        </w:sectPr>
      </w:pPr>
    </w:p>
    <w:bookmarkStart w:id="37" w:name="page38"/>
    <w:bookmarkEnd w:id="37"/>
    <w:p>
      <w:pPr>
        <w:ind w:left="640"/>
        <w:spacing w:after="0"/>
        <w:rPr>
          <w:sz w:val="20"/>
          <w:szCs w:val="20"/>
          <w:color w:val="auto"/>
        </w:rPr>
      </w:pPr>
      <w:r>
        <w:rPr>
          <w:rFonts w:ascii="Times New Roman" w:cs="Times New Roman" w:eastAsia="Times New Roman" w:hAnsi="Times New Roman"/>
          <w:sz w:val="14"/>
          <w:szCs w:val="14"/>
          <w:i w:val="1"/>
          <w:iCs w:val="1"/>
          <w:color w:val="auto"/>
        </w:rPr>
        <w:t>Selling, General, and Administrative Expenses</w:t>
      </w:r>
    </w:p>
    <w:p>
      <w:pPr>
        <w:spacing w:after="0" w:line="99" w:lineRule="exact"/>
        <w:rPr>
          <w:sz w:val="20"/>
          <w:szCs w:val="20"/>
          <w:color w:val="auto"/>
        </w:rPr>
      </w:pPr>
    </w:p>
    <w:p>
      <w:pPr>
        <w:ind w:left="640" w:right="699" w:firstLine="351"/>
        <w:spacing w:after="0" w:line="274" w:lineRule="auto"/>
        <w:rPr>
          <w:sz w:val="20"/>
          <w:szCs w:val="20"/>
          <w:color w:val="auto"/>
        </w:rPr>
      </w:pPr>
      <w:r>
        <w:rPr>
          <w:rFonts w:ascii="Times New Roman" w:cs="Times New Roman" w:eastAsia="Times New Roman" w:hAnsi="Times New Roman"/>
          <w:sz w:val="14"/>
          <w:szCs w:val="14"/>
          <w:color w:val="auto"/>
        </w:rPr>
        <w:t>Selling, general, and administrative expenses were $139.8 million for the three months ended September 30, 2026, as compared with $131.1 million for the three months ended September 30, 2025, an increase of $8.7 million or 6.6%. The increase primarily resulted from the aforementioned revenue and gross profit growth in the period.</w:t>
      </w:r>
    </w:p>
    <w:p>
      <w:pPr>
        <w:spacing w:after="0" w:line="13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Segment EBITDA</w:t>
      </w:r>
    </w:p>
    <w:p>
      <w:pPr>
        <w:spacing w:after="0" w:line="99" w:lineRule="exact"/>
        <w:rPr>
          <w:sz w:val="20"/>
          <w:szCs w:val="20"/>
          <w:color w:val="auto"/>
        </w:rPr>
      </w:pPr>
    </w:p>
    <w:p>
      <w:pPr>
        <w:ind w:left="640" w:right="699" w:firstLine="351"/>
        <w:spacing w:after="0" w:line="268" w:lineRule="auto"/>
        <w:rPr>
          <w:sz w:val="20"/>
          <w:szCs w:val="20"/>
          <w:color w:val="auto"/>
        </w:rPr>
      </w:pPr>
      <w:r>
        <w:rPr>
          <w:rFonts w:ascii="Times New Roman" w:cs="Times New Roman" w:eastAsia="Times New Roman" w:hAnsi="Times New Roman"/>
          <w:sz w:val="14"/>
          <w:szCs w:val="14"/>
          <w:color w:val="auto"/>
        </w:rPr>
        <w:t>Segment EBITDA was $202.0 million for the three months ended September 30, 2026, as compared with $141.0 million for the three months ended September 30, 2025, an increase of $61.0 million or 43.3%. The increase primarily resulted from the aforementioned revenue and gross profit growth in the period. See Note 11 “Segment Information” to our unaudited condensed consolidated financial statements and related notes included elsewhere in this Quarterly Report on Form 10-Q for further discussion.</w:t>
      </w:r>
    </w:p>
    <w:p>
      <w:pPr>
        <w:spacing w:after="0" w:line="13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Nine Months Ended September 30, 2026 Compared to Nine Months Ended September 30, 2025</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The following table sets forth, for the periods indicated, our segment results of operations for Pharmacy Solutions.</w:t>
      </w:r>
    </w:p>
    <w:p>
      <w:pPr>
        <w:spacing w:after="0" w:line="178" w:lineRule="exact"/>
        <w:rPr>
          <w:sz w:val="20"/>
          <w:szCs w:val="20"/>
          <w:color w:val="auto"/>
        </w:rPr>
      </w:pPr>
    </w:p>
    <w:tbl>
      <w:tblPr>
        <w:tblLayout w:type="fixed"/>
        <w:tblInd w:w="640" w:type="dxa"/>
        <w:tblCellMar>
          <w:top w:w="0" w:type="dxa"/>
          <w:left w:w="0" w:type="dxa"/>
          <w:bottom w:w="0" w:type="dxa"/>
          <w:right w:w="0" w:type="dxa"/>
        </w:tblCellMar>
      </w:tblPr>
      <w:tr>
        <w:trPr>
          <w:trHeight w:val="137"/>
        </w:trPr>
        <w:tc>
          <w:tcPr>
            <w:tcW w:w="394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i w:val="1"/>
                <w:iCs w:val="1"/>
                <w:color w:val="auto"/>
              </w:rPr>
              <w:t>($ in thousands, except Business Metrics)</w:t>
            </w: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0" w:type="dxa"/>
            <w:vAlign w:val="bottom"/>
            <w:tcBorders>
              <w:bottom w:val="single" w:sz="8" w:color="auto"/>
            </w:tcBorders>
            <w:gridSpan w:val="6"/>
          </w:tcPr>
          <w:p>
            <w:pPr>
              <w:ind w:left="260"/>
              <w:spacing w:after="0"/>
              <w:rPr>
                <w:sz w:val="20"/>
                <w:szCs w:val="20"/>
                <w:color w:val="auto"/>
              </w:rPr>
            </w:pPr>
            <w:r>
              <w:rPr>
                <w:rFonts w:ascii="Times New Roman" w:cs="Times New Roman" w:eastAsia="Times New Roman" w:hAnsi="Times New Roman"/>
                <w:sz w:val="11"/>
                <w:szCs w:val="11"/>
                <w:b w:val="1"/>
                <w:bCs w:val="1"/>
                <w:color w:val="auto"/>
              </w:rPr>
              <w:t>Pharmacy Solutions</w:t>
            </w:r>
          </w:p>
        </w:tc>
        <w:tc>
          <w:tcPr>
            <w:tcW w:w="5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394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640" w:type="dxa"/>
            <w:vAlign w:val="bottom"/>
            <w:gridSpan w:val="4"/>
          </w:tcPr>
          <w:p>
            <w:pPr>
              <w:jc w:val="right"/>
              <w:ind w:right="131"/>
              <w:spacing w:after="0" w:line="101" w:lineRule="exact"/>
              <w:rPr>
                <w:sz w:val="20"/>
                <w:szCs w:val="20"/>
                <w:color w:val="auto"/>
              </w:rPr>
            </w:pPr>
            <w:r>
              <w:rPr>
                <w:rFonts w:ascii="Times New Roman" w:cs="Times New Roman" w:eastAsia="Times New Roman" w:hAnsi="Times New Roman"/>
                <w:sz w:val="11"/>
                <w:szCs w:val="11"/>
                <w:b w:val="1"/>
                <w:bCs w:val="1"/>
                <w:color w:val="auto"/>
              </w:rPr>
              <w:t>For the Nine Months Ended</w:t>
            </w: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gridSpan w:val="3"/>
            <w:vMerge w:val="restart"/>
          </w:tcPr>
          <w:p>
            <w:pPr>
              <w:ind w:left="56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9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640" w:type="dxa"/>
            <w:vAlign w:val="bottom"/>
            <w:tcBorders>
              <w:bottom w:val="single" w:sz="8" w:color="auto"/>
            </w:tcBorders>
            <w:gridSpan w:val="4"/>
          </w:tcPr>
          <w:p>
            <w:pPr>
              <w:jc w:val="right"/>
              <w:ind w:right="471"/>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1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gridSpan w:val="3"/>
            <w:vMerge w:val="continue"/>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9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jc w:val="right"/>
              <w:ind w:right="212"/>
              <w:spacing w:after="0" w:line="109" w:lineRule="exact"/>
              <w:rPr>
                <w:sz w:val="20"/>
                <w:szCs w:val="20"/>
                <w:color w:val="auto"/>
              </w:rPr>
            </w:pPr>
            <w:r>
              <w:rPr>
                <w:rFonts w:ascii="Times New Roman" w:cs="Times New Roman" w:eastAsia="Times New Roman" w:hAnsi="Times New Roman"/>
                <w:sz w:val="11"/>
                <w:szCs w:val="11"/>
                <w:b w:val="1"/>
                <w:bCs w:val="1"/>
                <w:color w:val="auto"/>
              </w:rPr>
              <w:t>2026</w:t>
            </w:r>
          </w:p>
        </w:tc>
        <w:tc>
          <w:tcPr>
            <w:tcW w:w="1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jc w:val="right"/>
              <w:ind w:right="211"/>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1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jc w:val="right"/>
              <w:ind w:right="111"/>
              <w:spacing w:after="0" w:line="109" w:lineRule="exact"/>
              <w:rPr>
                <w:sz w:val="20"/>
                <w:szCs w:val="20"/>
                <w:color w:val="auto"/>
              </w:rPr>
            </w:pPr>
            <w:r>
              <w:rPr>
                <w:rFonts w:ascii="Times New Roman" w:cs="Times New Roman" w:eastAsia="Times New Roman" w:hAnsi="Times New Roman"/>
                <w:sz w:val="11"/>
                <w:szCs w:val="11"/>
                <w:b w:val="1"/>
                <w:bCs w:val="1"/>
                <w:color w:val="auto"/>
              </w:rPr>
              <w:t>Amount</w:t>
            </w:r>
          </w:p>
        </w:tc>
        <w:tc>
          <w:tcPr>
            <w:tcW w:w="16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jc w:val="right"/>
              <w:ind w:right="290"/>
              <w:spacing w:after="0" w:line="109" w:lineRule="exact"/>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Revenues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10,310,950</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8,289,238</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2,021,712</w:t>
            </w: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24.4%</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4"/>
                <w:szCs w:val="14"/>
                <w:color w:val="auto"/>
              </w:rPr>
              <w:t>Cost of goods</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9,395,982</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7,605,931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1,790,051</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23.5%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vMerge w:val="continue"/>
          </w:tcPr>
          <w:p>
            <w:pPr>
              <w:spacing w:after="0"/>
              <w:rPr>
                <w:sz w:val="14"/>
                <w:szCs w:val="14"/>
                <w:color w:val="auto"/>
              </w:rPr>
            </w:pPr>
          </w:p>
        </w:tc>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Gross profit</w:t>
            </w: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914,968</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683,307</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231,661</w:t>
            </w: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33.9%</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440,479</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382,894</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57,585</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15.0%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vMerge w:val="continue"/>
          </w:tcPr>
          <w:p>
            <w:pPr>
              <w:spacing w:after="0"/>
              <w:rPr>
                <w:sz w:val="14"/>
                <w:szCs w:val="14"/>
                <w:color w:val="auto"/>
              </w:rPr>
            </w:pPr>
          </w:p>
        </w:tc>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Segment operating income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474,489</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300,413</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174,076</w:t>
            </w: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57.9%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vMerge w:val="continue"/>
          </w:tcPr>
          <w:p>
            <w:pPr>
              <w:spacing w:after="0"/>
              <w:rPr>
                <w:sz w:val="14"/>
                <w:szCs w:val="14"/>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4"/>
                <w:szCs w:val="14"/>
                <w:color w:val="auto"/>
              </w:rPr>
              <w:t>Segment EBITDA</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551,097</w:t>
            </w:r>
          </w:p>
        </w:tc>
        <w:tc>
          <w:tcPr>
            <w:tcW w:w="16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381,405</w:t>
            </w:r>
          </w:p>
        </w:tc>
        <w:tc>
          <w:tcPr>
            <w:tcW w:w="16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169,692</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44.5%</w:t>
            </w:r>
          </w:p>
        </w:tc>
        <w:tc>
          <w:tcPr>
            <w:tcW w:w="0" w:type="dxa"/>
            <w:vAlign w:val="bottom"/>
          </w:tcPr>
          <w:p>
            <w:pPr>
              <w:spacing w:after="0"/>
              <w:rPr>
                <w:sz w:val="1"/>
                <w:szCs w:val="1"/>
                <w:color w:val="auto"/>
              </w:rPr>
            </w:pPr>
          </w:p>
        </w:tc>
      </w:tr>
      <w:tr>
        <w:trPr>
          <w:trHeight w:val="163"/>
        </w:trPr>
        <w:tc>
          <w:tcPr>
            <w:tcW w:w="20" w:type="dxa"/>
            <w:vAlign w:val="bottom"/>
            <w:vMerge w:val="restart"/>
          </w:tcPr>
          <w:p>
            <w:pPr>
              <w:spacing w:after="0"/>
              <w:rPr>
                <w:sz w:val="14"/>
                <w:szCs w:val="14"/>
                <w:color w:val="auto"/>
              </w:rPr>
            </w:pPr>
          </w:p>
        </w:tc>
        <w:tc>
          <w:tcPr>
            <w:tcW w:w="392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680" w:type="dxa"/>
            <w:vAlign w:val="bottom"/>
            <w:tcBorders>
              <w:top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680" w:type="dxa"/>
            <w:vAlign w:val="bottom"/>
            <w:tcBorders>
              <w:top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640" w:type="dxa"/>
            <w:vAlign w:val="bottom"/>
            <w:tcBorders>
              <w:top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40" w:type="dxa"/>
            <w:vAlign w:val="bottom"/>
            <w:tcBorders>
              <w:top w:val="single" w:sz="8" w:color="auto"/>
            </w:tcBorders>
            <w:shd w:val="clear" w:color="auto" w:fill="CFF0FC"/>
          </w:tcPr>
          <w:p>
            <w:pPr>
              <w:spacing w:after="0"/>
              <w:rPr>
                <w:sz w:val="14"/>
                <w:szCs w:val="14"/>
                <w:color w:val="auto"/>
              </w:rPr>
            </w:pPr>
          </w:p>
        </w:tc>
        <w:tc>
          <w:tcPr>
            <w:tcW w:w="580" w:type="dxa"/>
            <w:vAlign w:val="bottom"/>
            <w:tcBorders>
              <w:top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4"/>
                <w:szCs w:val="14"/>
                <w:color w:val="auto"/>
              </w:rPr>
              <w:t>Business Metrics:</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Prescriptions dispensed</w:t>
            </w: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32,523,789</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32,522,286</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1,503</w:t>
            </w: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Revenue per script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317.03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254.88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62.15</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24.4%</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Gross profit per script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28.13</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21.01</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7.12</w:t>
            </w: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33.9%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3419475</wp:posOffset>
            </wp:positionH>
            <wp:positionV relativeFrom="paragraph">
              <wp:posOffset>-667385</wp:posOffset>
            </wp:positionV>
            <wp:extent cx="47625" cy="698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4025900</wp:posOffset>
            </wp:positionH>
            <wp:positionV relativeFrom="paragraph">
              <wp:posOffset>-667385</wp:posOffset>
            </wp:positionV>
            <wp:extent cx="47625" cy="698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4612640</wp:posOffset>
            </wp:positionH>
            <wp:positionV relativeFrom="paragraph">
              <wp:posOffset>-667385</wp:posOffset>
            </wp:positionV>
            <wp:extent cx="47625" cy="698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5226685</wp:posOffset>
            </wp:positionH>
            <wp:positionV relativeFrom="paragraph">
              <wp:posOffset>-667385</wp:posOffset>
            </wp:positionV>
            <wp:extent cx="88900" cy="698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88900" cy="6985"/>
                    </a:xfrm>
                    <a:prstGeom prst="rect">
                      <a:avLst/>
                    </a:prstGeom>
                    <a:noFill/>
                  </pic:spPr>
                </pic:pic>
              </a:graphicData>
            </a:graphic>
          </wp:anchor>
        </w:drawing>
      </w:r>
    </w:p>
    <w:p>
      <w:pPr>
        <w:spacing w:after="0" w:line="137" w:lineRule="exact"/>
        <w:rPr>
          <w:sz w:val="20"/>
          <w:szCs w:val="20"/>
          <w:color w:val="auto"/>
        </w:rPr>
      </w:pPr>
    </w:p>
    <w:p>
      <w:pPr>
        <w:ind w:left="640" w:right="919" w:firstLine="516"/>
        <w:spacing w:after="0" w:line="292" w:lineRule="auto"/>
        <w:rPr>
          <w:sz w:val="20"/>
          <w:szCs w:val="20"/>
          <w:color w:val="auto"/>
        </w:rPr>
      </w:pPr>
      <w:r>
        <w:rPr>
          <w:rFonts w:ascii="Times New Roman" w:cs="Times New Roman" w:eastAsia="Times New Roman" w:hAnsi="Times New Roman"/>
          <w:sz w:val="14"/>
          <w:szCs w:val="14"/>
          <w:color w:val="auto"/>
        </w:rPr>
        <w:t>The following discussion of our Pharmacy Solutions segment results of operations should be read in conjunction with the foregoing table summarizing our segment results of operations.</w:t>
      </w:r>
    </w:p>
    <w:p>
      <w:pPr>
        <w:spacing w:after="0" w:line="1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Revenues</w:t>
      </w:r>
    </w:p>
    <w:p>
      <w:pPr>
        <w:spacing w:after="0" w:line="99" w:lineRule="exact"/>
        <w:rPr>
          <w:sz w:val="20"/>
          <w:szCs w:val="20"/>
          <w:color w:val="auto"/>
        </w:rPr>
      </w:pPr>
    </w:p>
    <w:p>
      <w:pPr>
        <w:ind w:left="640" w:right="679" w:firstLine="351"/>
        <w:spacing w:after="0" w:line="260" w:lineRule="auto"/>
        <w:rPr>
          <w:sz w:val="20"/>
          <w:szCs w:val="20"/>
          <w:color w:val="auto"/>
        </w:rPr>
      </w:pPr>
      <w:r>
        <w:rPr>
          <w:rFonts w:ascii="Times New Roman" w:cs="Times New Roman" w:eastAsia="Times New Roman" w:hAnsi="Times New Roman"/>
          <w:sz w:val="14"/>
          <w:szCs w:val="14"/>
          <w:color w:val="auto"/>
        </w:rPr>
        <w:t>Revenues were $10,311.0 million for the nine months ended September 30, 2026, as compared with $8,289.2 million for the nine months ended September 30, 2025, an increase of $2,021.7 million or 24.4%. The increase primarily resulted from volume growth in prescriptions dispensed within Specialty and Infusion Pharmacy partially offset by a decline in prescriptions dispensed within Home and Community Pharmacy. Revenues attributable to Specialty and Infusion Pharmacy were $8,691.7 million for the nine months ended September 30, 2026, as compared with $6,531.9 million for the nine months ended September 30, 2025, an increase of $2,159.8 million or 33.1% attributable to an increase in prescriptions dispensed on certain specialty branded drugs. Revenues attributable to Home and Community Pharmacy were $1,619.3 million for the nine months ended September 30, 2026, as compared with $1,757.3 million for the nine months ended September 30, 2025, a decrease of $138.0 million or 7.9%, primarily attributable to impacts from the Inflation Reduction Act, which has resulted in reductions in federal healthcare spending, including through mandatory Medicare drug price negotiations and rebates, and statutory caps on negotiated prices.</w:t>
      </w:r>
    </w:p>
    <w:p>
      <w:pPr>
        <w:spacing w:after="0" w:line="60" w:lineRule="exact"/>
        <w:rPr>
          <w:sz w:val="20"/>
          <w:szCs w:val="20"/>
          <w:color w:val="auto"/>
        </w:rPr>
      </w:pPr>
    </w:p>
    <w:p>
      <w:pPr>
        <w:ind w:left="640" w:right="1079" w:firstLine="351"/>
        <w:spacing w:after="0" w:line="292" w:lineRule="auto"/>
        <w:rPr>
          <w:sz w:val="20"/>
          <w:szCs w:val="20"/>
          <w:color w:val="auto"/>
        </w:rPr>
      </w:pPr>
      <w:r>
        <w:rPr>
          <w:rFonts w:ascii="Times New Roman" w:cs="Times New Roman" w:eastAsia="Times New Roman" w:hAnsi="Times New Roman"/>
          <w:sz w:val="14"/>
          <w:szCs w:val="14"/>
          <w:color w:val="auto"/>
        </w:rPr>
        <w:t>The increase in revenue per prescription dispensed is due to mix changes year-over-year and a greater relative increase in volume growth in certain specialty brand drugs, which carry a higher revenue per prescription dispensed.</w:t>
      </w:r>
    </w:p>
    <w:p>
      <w:pPr>
        <w:spacing w:after="0" w:line="1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Cost of Goods</w:t>
      </w:r>
    </w:p>
    <w:p>
      <w:pPr>
        <w:spacing w:after="0" w:line="99" w:lineRule="exact"/>
        <w:rPr>
          <w:sz w:val="20"/>
          <w:szCs w:val="20"/>
          <w:color w:val="auto"/>
        </w:rPr>
      </w:pPr>
    </w:p>
    <w:p>
      <w:pPr>
        <w:ind w:left="640" w:right="799" w:firstLine="351"/>
        <w:spacing w:after="0" w:line="274" w:lineRule="auto"/>
        <w:rPr>
          <w:sz w:val="20"/>
          <w:szCs w:val="20"/>
          <w:color w:val="auto"/>
        </w:rPr>
      </w:pPr>
      <w:r>
        <w:rPr>
          <w:rFonts w:ascii="Times New Roman" w:cs="Times New Roman" w:eastAsia="Times New Roman" w:hAnsi="Times New Roman"/>
          <w:sz w:val="14"/>
          <w:szCs w:val="14"/>
          <w:color w:val="auto"/>
        </w:rPr>
        <w:t>Cost of goods was $9,396.0 million for the nine months ended September 30, 2026, as compared with $7,605.9 million for the nine months ended September 30, 2025, an increase of $1,790.1 million or 23.5%. The increase primarily resulted from the aforementioned revenue growth in the period as well as an increase in cost per prescription dispensed as a result of mix shift.</w:t>
      </w:r>
    </w:p>
    <w:p>
      <w:pPr>
        <w:spacing w:after="0" w:line="50" w:lineRule="exact"/>
        <w:rPr>
          <w:sz w:val="20"/>
          <w:szCs w:val="20"/>
          <w:color w:val="auto"/>
        </w:rPr>
      </w:pPr>
    </w:p>
    <w:p>
      <w:pPr>
        <w:ind w:left="640" w:right="779" w:firstLine="351"/>
        <w:spacing w:after="0" w:line="292" w:lineRule="auto"/>
        <w:rPr>
          <w:sz w:val="20"/>
          <w:szCs w:val="20"/>
          <w:color w:val="auto"/>
        </w:rPr>
      </w:pPr>
      <w:r>
        <w:rPr>
          <w:rFonts w:ascii="Times New Roman" w:cs="Times New Roman" w:eastAsia="Times New Roman" w:hAnsi="Times New Roman"/>
          <w:sz w:val="14"/>
          <w:szCs w:val="14"/>
          <w:color w:val="auto"/>
        </w:rPr>
        <w:t>Gross profit was $915.0 million for the nine months ended September 30, 2026, as compared with $683.3 million for the nine months ended September 30, 2025, an increase of $231.7 million or 33.9%. The increase primarily resulted from the aforementioned</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68" w:right="1440" w:bottom="1440" w:gutter="0" w:footer="0" w:header="0"/>
        </w:sectPr>
      </w:pPr>
    </w:p>
    <w:bookmarkStart w:id="38" w:name="page39"/>
    <w:bookmarkEnd w:id="38"/>
    <w:p>
      <w:pPr>
        <w:ind w:left="640" w:right="739"/>
        <w:spacing w:after="0" w:line="292" w:lineRule="auto"/>
        <w:rPr>
          <w:sz w:val="20"/>
          <w:szCs w:val="20"/>
          <w:color w:val="auto"/>
        </w:rPr>
      </w:pPr>
      <w:r>
        <w:rPr>
          <w:rFonts w:ascii="Times New Roman" w:cs="Times New Roman" w:eastAsia="Times New Roman" w:hAnsi="Times New Roman"/>
          <w:sz w:val="14"/>
          <w:szCs w:val="14"/>
          <w:color w:val="auto"/>
        </w:rPr>
        <w:t>revenue growth in the period, primarily the result of outsized volume growth as well as mix in certain specialty branded drugs, which have lower margins.</w:t>
      </w:r>
    </w:p>
    <w:p>
      <w:pPr>
        <w:spacing w:after="0" w:line="38" w:lineRule="exact"/>
        <w:rPr>
          <w:sz w:val="20"/>
          <w:szCs w:val="20"/>
          <w:color w:val="auto"/>
        </w:rPr>
      </w:pPr>
    </w:p>
    <w:p>
      <w:pPr>
        <w:ind w:left="640" w:right="839" w:firstLine="351"/>
        <w:spacing w:after="0" w:line="268" w:lineRule="auto"/>
        <w:rPr>
          <w:sz w:val="20"/>
          <w:szCs w:val="20"/>
          <w:color w:val="auto"/>
        </w:rPr>
      </w:pPr>
      <w:r>
        <w:rPr>
          <w:rFonts w:ascii="Times New Roman" w:cs="Times New Roman" w:eastAsia="Times New Roman" w:hAnsi="Times New Roman"/>
          <w:sz w:val="14"/>
          <w:szCs w:val="14"/>
          <w:color w:val="auto"/>
        </w:rPr>
        <w:t>Gross profit margin for the nine months ended September 30, 2026 was 8.9% compared to 8.2% for the nine months ended September 30, 2025. The increase in gross profit margin is due to mix shift in the Pharmacy Solutions segment with greater relative volume growth in Specialty and Infusion Pharmacy, along with product-level mix shifts and rate changes, partially offset by an increase in the fulfillment cost per script in Home and Community Pharmacy.</w:t>
      </w:r>
    </w:p>
    <w:p>
      <w:pPr>
        <w:spacing w:after="0" w:line="13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Selling, General, and Administrative Expenses</w:t>
      </w:r>
    </w:p>
    <w:p>
      <w:pPr>
        <w:spacing w:after="0" w:line="99" w:lineRule="exact"/>
        <w:rPr>
          <w:sz w:val="20"/>
          <w:szCs w:val="20"/>
          <w:color w:val="auto"/>
        </w:rPr>
      </w:pPr>
    </w:p>
    <w:p>
      <w:pPr>
        <w:ind w:left="640" w:right="739" w:firstLine="351"/>
        <w:spacing w:after="0" w:line="274" w:lineRule="auto"/>
        <w:rPr>
          <w:sz w:val="20"/>
          <w:szCs w:val="20"/>
          <w:color w:val="auto"/>
        </w:rPr>
      </w:pPr>
      <w:r>
        <w:rPr>
          <w:rFonts w:ascii="Times New Roman" w:cs="Times New Roman" w:eastAsia="Times New Roman" w:hAnsi="Times New Roman"/>
          <w:sz w:val="14"/>
          <w:szCs w:val="14"/>
          <w:color w:val="auto"/>
        </w:rPr>
        <w:t>Selling, general, and administrative expenses were $440.5 million for the nine months ended September 30, 2026, as compared with $382.9 million for the nine months ended September 30, 2025, an increase of $57.6 million or 15.0%. The increase primarily resulted from the aforementioned revenue and gross profit growth in the period.</w:t>
      </w:r>
    </w:p>
    <w:p>
      <w:pPr>
        <w:spacing w:after="0" w:line="13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Segment EBITDA</w:t>
      </w:r>
    </w:p>
    <w:p>
      <w:pPr>
        <w:spacing w:after="0" w:line="99" w:lineRule="exact"/>
        <w:rPr>
          <w:sz w:val="20"/>
          <w:szCs w:val="20"/>
          <w:color w:val="auto"/>
        </w:rPr>
      </w:pPr>
    </w:p>
    <w:p>
      <w:pPr>
        <w:ind w:left="640" w:right="739" w:firstLine="351"/>
        <w:spacing w:after="0" w:line="268" w:lineRule="auto"/>
        <w:rPr>
          <w:sz w:val="20"/>
          <w:szCs w:val="20"/>
          <w:color w:val="auto"/>
        </w:rPr>
      </w:pPr>
      <w:r>
        <w:rPr>
          <w:rFonts w:ascii="Times New Roman" w:cs="Times New Roman" w:eastAsia="Times New Roman" w:hAnsi="Times New Roman"/>
          <w:sz w:val="14"/>
          <w:szCs w:val="14"/>
          <w:color w:val="auto"/>
        </w:rPr>
        <w:t>Segment EBITDA was $551.1 million for the nine months ended September 30, 2026, as compared with $381.4 million for the nine months ended September 30, 2025, an increase of $169.7 million or 44.5%. The increase primarily resulted from the aforementioned revenue and gross profit growth in the period. See Note 11 “Segment Information” to our unaudited condensed consolidated financial statements and related notes included elsewhere in this Quarterly Report on Form 10-Q for further discussion.</w:t>
      </w:r>
    </w:p>
    <w:p>
      <w:pPr>
        <w:spacing w:after="0" w:line="13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Provider Services Segment</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2026 Compared to Three Months Ended September 30, 2025</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The following table sets forth, for the years indicated, our segment results of operations for Provider Services.</w:t>
      </w:r>
    </w:p>
    <w:p>
      <w:pPr>
        <w:spacing w:after="0" w:line="178" w:lineRule="exact"/>
        <w:rPr>
          <w:sz w:val="20"/>
          <w:szCs w:val="20"/>
          <w:color w:val="auto"/>
        </w:rPr>
      </w:pPr>
    </w:p>
    <w:tbl>
      <w:tblPr>
        <w:tblLayout w:type="fixed"/>
        <w:tblInd w:w="640" w:type="dxa"/>
        <w:tblCellMar>
          <w:top w:w="0" w:type="dxa"/>
          <w:left w:w="0" w:type="dxa"/>
          <w:bottom w:w="0" w:type="dxa"/>
          <w:right w:w="0" w:type="dxa"/>
        </w:tblCellMar>
      </w:tblPr>
      <w:tr>
        <w:trPr>
          <w:trHeight w:val="137"/>
        </w:trPr>
        <w:tc>
          <w:tcPr>
            <w:tcW w:w="394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i w:val="1"/>
                <w:iCs w:val="1"/>
                <w:color w:val="auto"/>
              </w:rPr>
              <w:t>($ in thousands, except Business Metrics)</w:t>
            </w: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840" w:type="dxa"/>
            <w:vAlign w:val="bottom"/>
            <w:tcBorders>
              <w:bottom w:val="single" w:sz="8" w:color="auto"/>
            </w:tcBorders>
            <w:gridSpan w:val="6"/>
          </w:tcPr>
          <w:p>
            <w:pPr>
              <w:ind w:left="160"/>
              <w:spacing w:after="0"/>
              <w:rPr>
                <w:sz w:val="20"/>
                <w:szCs w:val="20"/>
                <w:color w:val="auto"/>
              </w:rPr>
            </w:pPr>
            <w:r>
              <w:rPr>
                <w:rFonts w:ascii="Times New Roman" w:cs="Times New Roman" w:eastAsia="Times New Roman" w:hAnsi="Times New Roman"/>
                <w:sz w:val="11"/>
                <w:szCs w:val="11"/>
                <w:b w:val="1"/>
                <w:bCs w:val="1"/>
                <w:color w:val="auto"/>
              </w:rPr>
              <w:t>Provider Services</w:t>
            </w:r>
          </w:p>
        </w:tc>
        <w:tc>
          <w:tcPr>
            <w:tcW w:w="5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394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640" w:type="dxa"/>
            <w:vAlign w:val="bottom"/>
            <w:gridSpan w:val="4"/>
          </w:tcPr>
          <w:p>
            <w:pPr>
              <w:jc w:val="right"/>
              <w:ind w:right="91"/>
              <w:spacing w:after="0" w:line="101" w:lineRule="exact"/>
              <w:rPr>
                <w:sz w:val="20"/>
                <w:szCs w:val="20"/>
                <w:color w:val="auto"/>
              </w:rPr>
            </w:pPr>
            <w:r>
              <w:rPr>
                <w:rFonts w:ascii="Times New Roman" w:cs="Times New Roman" w:eastAsia="Times New Roman" w:hAnsi="Times New Roman"/>
                <w:sz w:val="11"/>
                <w:szCs w:val="11"/>
                <w:b w:val="1"/>
                <w:bCs w:val="1"/>
                <w:color w:val="auto"/>
              </w:rPr>
              <w:t>For the Three Months Ended</w:t>
            </w: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gridSpan w:val="3"/>
            <w:vMerge w:val="restart"/>
          </w:tcPr>
          <w:p>
            <w:pPr>
              <w:ind w:left="56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9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5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gridSpan w:val="3"/>
            <w:vMerge w:val="continue"/>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9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jc w:val="right"/>
              <w:ind w:right="212"/>
              <w:spacing w:after="0" w:line="109" w:lineRule="exact"/>
              <w:rPr>
                <w:sz w:val="20"/>
                <w:szCs w:val="20"/>
                <w:color w:val="auto"/>
              </w:rPr>
            </w:pPr>
            <w:r>
              <w:rPr>
                <w:rFonts w:ascii="Times New Roman" w:cs="Times New Roman" w:eastAsia="Times New Roman" w:hAnsi="Times New Roman"/>
                <w:sz w:val="11"/>
                <w:szCs w:val="11"/>
                <w:b w:val="1"/>
                <w:bCs w:val="1"/>
                <w:color w:val="auto"/>
              </w:rPr>
              <w:t>2026</w:t>
            </w:r>
          </w:p>
        </w:tc>
        <w:tc>
          <w:tcPr>
            <w:tcW w:w="16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jc w:val="right"/>
              <w:ind w:right="211"/>
              <w:spacing w:after="0" w:line="109" w:lineRule="exact"/>
              <w:rPr>
                <w:sz w:val="20"/>
                <w:szCs w:val="20"/>
                <w:color w:val="auto"/>
              </w:rPr>
            </w:pPr>
            <w:r>
              <w:rPr>
                <w:rFonts w:ascii="Times New Roman" w:cs="Times New Roman" w:eastAsia="Times New Roman" w:hAnsi="Times New Roman"/>
                <w:sz w:val="11"/>
                <w:szCs w:val="11"/>
                <w:b w:val="1"/>
                <w:bCs w:val="1"/>
                <w:color w:val="auto"/>
                <w:w w:val="99"/>
              </w:rPr>
              <w:t>2025</w:t>
            </w:r>
          </w:p>
        </w:tc>
        <w:tc>
          <w:tcPr>
            <w:tcW w:w="1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jc w:val="right"/>
              <w:ind w:right="111"/>
              <w:spacing w:after="0" w:line="109" w:lineRule="exact"/>
              <w:rPr>
                <w:sz w:val="20"/>
                <w:szCs w:val="20"/>
                <w:color w:val="auto"/>
              </w:rPr>
            </w:pPr>
            <w:r>
              <w:rPr>
                <w:rFonts w:ascii="Times New Roman" w:cs="Times New Roman" w:eastAsia="Times New Roman" w:hAnsi="Times New Roman"/>
                <w:sz w:val="11"/>
                <w:szCs w:val="11"/>
                <w:b w:val="1"/>
                <w:bCs w:val="1"/>
                <w:color w:val="auto"/>
              </w:rPr>
              <w:t>Amount</w:t>
            </w:r>
          </w:p>
        </w:tc>
        <w:tc>
          <w:tcPr>
            <w:tcW w:w="16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jc w:val="right"/>
              <w:ind w:right="290"/>
              <w:spacing w:after="0" w:line="109" w:lineRule="exact"/>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Revenues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480,806</w:t>
            </w:r>
          </w:p>
        </w:tc>
        <w:tc>
          <w:tcPr>
            <w:tcW w:w="44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367,140</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113,666</w:t>
            </w: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31.0%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4"/>
                <w:szCs w:val="14"/>
                <w:color w:val="auto"/>
              </w:rPr>
              <w:t>Cost of services</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278,270</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220,784</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57,486</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26.0%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vMerge w:val="continue"/>
          </w:tcPr>
          <w:p>
            <w:pPr>
              <w:spacing w:after="0"/>
              <w:rPr>
                <w:sz w:val="14"/>
                <w:szCs w:val="14"/>
                <w:color w:val="auto"/>
              </w:rPr>
            </w:pPr>
          </w:p>
        </w:tc>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Gross profit</w:t>
            </w: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202,536</w:t>
            </w:r>
          </w:p>
        </w:tc>
        <w:tc>
          <w:tcPr>
            <w:tcW w:w="1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146,356</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56,180</w:t>
            </w: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38.4%</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128,578</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93,027</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35,551</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38.2%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vMerge w:val="continue"/>
          </w:tcPr>
          <w:p>
            <w:pPr>
              <w:spacing w:after="0"/>
              <w:rPr>
                <w:sz w:val="14"/>
                <w:szCs w:val="14"/>
                <w:color w:val="auto"/>
              </w:rPr>
            </w:pPr>
          </w:p>
        </w:tc>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Segment operating income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73,958</w:t>
            </w:r>
          </w:p>
        </w:tc>
        <w:tc>
          <w:tcPr>
            <w:tcW w:w="160" w:type="dxa"/>
            <w:vAlign w:val="bottom"/>
            <w:shd w:val="clear" w:color="auto" w:fill="CFF0FC"/>
          </w:tcPr>
          <w:p>
            <w:pPr>
              <w:spacing w:after="0"/>
              <w:rPr>
                <w:sz w:val="14"/>
                <w:szCs w:val="14"/>
                <w:color w:val="auto"/>
              </w:rPr>
            </w:pPr>
          </w:p>
        </w:tc>
        <w:tc>
          <w:tcPr>
            <w:tcW w:w="28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53,329</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20,629</w:t>
            </w: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38.7%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vMerge w:val="continue"/>
          </w:tcPr>
          <w:p>
            <w:pPr>
              <w:spacing w:after="0"/>
              <w:rPr>
                <w:sz w:val="14"/>
                <w:szCs w:val="14"/>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4"/>
                <w:szCs w:val="14"/>
                <w:color w:val="auto"/>
              </w:rPr>
              <w:t>Segment EBITDA</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78,952</w:t>
            </w:r>
          </w:p>
        </w:tc>
        <w:tc>
          <w:tcPr>
            <w:tcW w:w="160" w:type="dxa"/>
            <w:vAlign w:val="bottom"/>
          </w:tcPr>
          <w:p>
            <w:pPr>
              <w:spacing w:after="0"/>
              <w:rPr>
                <w:sz w:val="14"/>
                <w:szCs w:val="14"/>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60,669</w:t>
            </w:r>
          </w:p>
        </w:tc>
        <w:tc>
          <w:tcPr>
            <w:tcW w:w="16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18,283</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30.1%</w:t>
            </w:r>
          </w:p>
        </w:tc>
        <w:tc>
          <w:tcPr>
            <w:tcW w:w="0" w:type="dxa"/>
            <w:vAlign w:val="bottom"/>
          </w:tcPr>
          <w:p>
            <w:pPr>
              <w:spacing w:after="0"/>
              <w:rPr>
                <w:sz w:val="1"/>
                <w:szCs w:val="1"/>
                <w:color w:val="auto"/>
              </w:rPr>
            </w:pPr>
          </w:p>
        </w:tc>
      </w:tr>
      <w:tr>
        <w:trPr>
          <w:trHeight w:val="163"/>
        </w:trPr>
        <w:tc>
          <w:tcPr>
            <w:tcW w:w="20" w:type="dxa"/>
            <w:vAlign w:val="bottom"/>
            <w:vMerge w:val="restart"/>
          </w:tcPr>
          <w:p>
            <w:pPr>
              <w:spacing w:after="0"/>
              <w:rPr>
                <w:sz w:val="14"/>
                <w:szCs w:val="14"/>
                <w:color w:val="auto"/>
              </w:rPr>
            </w:pPr>
          </w:p>
        </w:tc>
        <w:tc>
          <w:tcPr>
            <w:tcW w:w="392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680" w:type="dxa"/>
            <w:vAlign w:val="bottom"/>
            <w:tcBorders>
              <w:top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80" w:type="dxa"/>
            <w:vAlign w:val="bottom"/>
            <w:tcBorders>
              <w:top w:val="single" w:sz="8" w:color="auto"/>
            </w:tcBorders>
            <w:shd w:val="clear" w:color="auto" w:fill="CFF0FC"/>
          </w:tcPr>
          <w:p>
            <w:pPr>
              <w:spacing w:after="0"/>
              <w:rPr>
                <w:sz w:val="14"/>
                <w:szCs w:val="14"/>
                <w:color w:val="auto"/>
              </w:rPr>
            </w:pPr>
          </w:p>
        </w:tc>
        <w:tc>
          <w:tcPr>
            <w:tcW w:w="520" w:type="dxa"/>
            <w:vAlign w:val="bottom"/>
            <w:tcBorders>
              <w:top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640" w:type="dxa"/>
            <w:vAlign w:val="bottom"/>
            <w:tcBorders>
              <w:top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40" w:type="dxa"/>
            <w:vAlign w:val="bottom"/>
            <w:tcBorders>
              <w:top w:val="single" w:sz="8" w:color="auto"/>
            </w:tcBorders>
            <w:shd w:val="clear" w:color="auto" w:fill="CFF0FC"/>
          </w:tcPr>
          <w:p>
            <w:pPr>
              <w:spacing w:after="0"/>
              <w:rPr>
                <w:sz w:val="14"/>
                <w:szCs w:val="14"/>
                <w:color w:val="auto"/>
              </w:rPr>
            </w:pPr>
          </w:p>
        </w:tc>
        <w:tc>
          <w:tcPr>
            <w:tcW w:w="580" w:type="dxa"/>
            <w:vAlign w:val="bottom"/>
            <w:tcBorders>
              <w:top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4"/>
                <w:szCs w:val="14"/>
                <w:color w:val="auto"/>
              </w:rPr>
              <w:t>Business Metrics:</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Home Health Care average daily census*</w:t>
            </w: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47,256</w:t>
            </w:r>
          </w:p>
        </w:tc>
        <w:tc>
          <w:tcPr>
            <w:tcW w:w="1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29,980</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17,276</w:t>
            </w: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57.6%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Rehab Care persons served*</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7,574</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6,932</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642</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9.3%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Personal Care persons served</w:t>
            </w: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16,320</w:t>
            </w:r>
          </w:p>
        </w:tc>
        <w:tc>
          <w:tcPr>
            <w:tcW w:w="1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16,134</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3419475</wp:posOffset>
            </wp:positionH>
            <wp:positionV relativeFrom="paragraph">
              <wp:posOffset>-667385</wp:posOffset>
            </wp:positionV>
            <wp:extent cx="47625" cy="698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4025900</wp:posOffset>
            </wp:positionH>
            <wp:positionV relativeFrom="paragraph">
              <wp:posOffset>-667385</wp:posOffset>
            </wp:positionV>
            <wp:extent cx="47625" cy="698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4612640</wp:posOffset>
            </wp:positionH>
            <wp:positionV relativeFrom="paragraph">
              <wp:posOffset>-667385</wp:posOffset>
            </wp:positionV>
            <wp:extent cx="47625" cy="698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5226685</wp:posOffset>
            </wp:positionH>
            <wp:positionV relativeFrom="paragraph">
              <wp:posOffset>-667385</wp:posOffset>
            </wp:positionV>
            <wp:extent cx="88900" cy="698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88900" cy="6985"/>
                    </a:xfrm>
                    <a:prstGeom prst="rect">
                      <a:avLst/>
                    </a:prstGeom>
                    <a:noFill/>
                  </pic:spPr>
                </pic:pic>
              </a:graphicData>
            </a:graphic>
          </wp:anchor>
        </w:drawing>
      </w:r>
    </w:p>
    <w:p>
      <w:pPr>
        <w:spacing w:after="0" w:line="47" w:lineRule="exact"/>
        <w:rPr>
          <w:sz w:val="20"/>
          <w:szCs w:val="20"/>
          <w:color w:val="auto"/>
        </w:rPr>
      </w:pPr>
    </w:p>
    <w:p>
      <w:pPr>
        <w:ind w:left="640" w:right="679" w:hanging="2"/>
        <w:spacing w:after="0" w:line="246" w:lineRule="auto"/>
        <w:tabs>
          <w:tab w:leader="none" w:pos="726" w:val="left"/>
        </w:tabs>
        <w:numPr>
          <w:ilvl w:val="0"/>
          <w:numId w:val="19"/>
        </w:numPr>
        <w:rPr>
          <w:rFonts w:ascii="Times New Roman" w:cs="Times New Roman" w:eastAsia="Times New Roman" w:hAnsi="Times New Roman"/>
          <w:sz w:val="11"/>
          <w:szCs w:val="11"/>
          <w:i w:val="1"/>
          <w:iCs w:val="1"/>
          <w:color w:val="auto"/>
        </w:rPr>
      </w:pPr>
      <w:r>
        <w:rPr>
          <w:rFonts w:ascii="Times New Roman" w:cs="Times New Roman" w:eastAsia="Times New Roman" w:hAnsi="Times New Roman"/>
          <w:sz w:val="11"/>
          <w:szCs w:val="11"/>
          <w:i w:val="1"/>
          <w:iCs w:val="1"/>
          <w:color w:val="auto"/>
        </w:rPr>
        <w:t>Effective July 1, 2026, the Company realigned its Rehab in Motion business from the Rehab Care sub-segment to the Home Health Care sub-segment to reflect how the business is managed. Prior period sub-segment information has been recast to conform to the current presentation. The change did not affect consolidated company or segment results. The impact on prior periods was not material.</w:t>
      </w:r>
    </w:p>
    <w:p>
      <w:pPr>
        <w:spacing w:after="0" w:line="142" w:lineRule="exact"/>
        <w:rPr>
          <w:sz w:val="20"/>
          <w:szCs w:val="20"/>
          <w:color w:val="auto"/>
        </w:rPr>
      </w:pPr>
    </w:p>
    <w:p>
      <w:pPr>
        <w:ind w:left="640" w:right="1039" w:firstLine="516"/>
        <w:spacing w:after="0" w:line="292" w:lineRule="auto"/>
        <w:rPr>
          <w:sz w:val="20"/>
          <w:szCs w:val="20"/>
          <w:color w:val="auto"/>
        </w:rPr>
      </w:pPr>
      <w:r>
        <w:rPr>
          <w:rFonts w:ascii="Times New Roman" w:cs="Times New Roman" w:eastAsia="Times New Roman" w:hAnsi="Times New Roman"/>
          <w:sz w:val="14"/>
          <w:szCs w:val="14"/>
          <w:color w:val="auto"/>
        </w:rPr>
        <w:t>The following discussion of our Provider Services segment results of operations should be read in conjunction with the foregoing table summarizing our segment results of operations.</w:t>
      </w:r>
    </w:p>
    <w:p>
      <w:pPr>
        <w:spacing w:after="0" w:line="1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Revenues</w:t>
      </w:r>
    </w:p>
    <w:p>
      <w:pPr>
        <w:spacing w:after="0" w:line="99" w:lineRule="exact"/>
        <w:rPr>
          <w:sz w:val="20"/>
          <w:szCs w:val="20"/>
          <w:color w:val="auto"/>
        </w:rPr>
      </w:pPr>
    </w:p>
    <w:p>
      <w:pPr>
        <w:ind w:left="640" w:right="839" w:firstLine="351"/>
        <w:spacing w:after="0" w:line="274" w:lineRule="auto"/>
        <w:rPr>
          <w:sz w:val="20"/>
          <w:szCs w:val="20"/>
          <w:color w:val="auto"/>
        </w:rPr>
      </w:pPr>
      <w:r>
        <w:rPr>
          <w:rFonts w:ascii="Times New Roman" w:cs="Times New Roman" w:eastAsia="Times New Roman" w:hAnsi="Times New Roman"/>
          <w:sz w:val="14"/>
          <w:szCs w:val="14"/>
          <w:color w:val="auto"/>
        </w:rPr>
        <w:t>Revenues were $480.8 million for the three months ended September 30, 2026, as compared with $367.1 million for the three months ended September 30, 2025, an increase of $113.7 million or 31.0%. The increase primarily resulted from the following segment activity and factors:</w:t>
      </w:r>
    </w:p>
    <w:p>
      <w:pPr>
        <w:spacing w:after="0" w:line="50" w:lineRule="exact"/>
        <w:rPr>
          <w:sz w:val="20"/>
          <w:szCs w:val="20"/>
          <w:color w:val="auto"/>
        </w:rPr>
      </w:pPr>
    </w:p>
    <w:p>
      <w:pPr>
        <w:ind w:left="1340" w:hanging="352"/>
        <w:spacing w:after="0"/>
        <w:tabs>
          <w:tab w:leader="none" w:pos="13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$76.1 million, or 20.7%, increase from the Amedisys and LHC Branches acquisition; and</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$37.6 million, or 10.3%, increase primarily from volume growth as well as rate increases received during the period.</w:t>
      </w:r>
    </w:p>
    <w:p>
      <w:pPr>
        <w:spacing w:after="0" w:line="97" w:lineRule="exact"/>
        <w:rPr>
          <w:sz w:val="20"/>
          <w:szCs w:val="20"/>
          <w:color w:val="auto"/>
        </w:rPr>
      </w:pPr>
    </w:p>
    <w:p>
      <w:pPr>
        <w:ind w:left="640" w:right="699" w:firstLine="516"/>
        <w:spacing w:after="0" w:line="274" w:lineRule="auto"/>
        <w:rPr>
          <w:sz w:val="20"/>
          <w:szCs w:val="20"/>
          <w:color w:val="auto"/>
        </w:rPr>
      </w:pPr>
      <w:r>
        <w:rPr>
          <w:rFonts w:ascii="Times New Roman" w:cs="Times New Roman" w:eastAsia="Times New Roman" w:hAnsi="Times New Roman"/>
          <w:sz w:val="14"/>
          <w:szCs w:val="14"/>
          <w:color w:val="auto"/>
        </w:rPr>
        <w:t>Revenues attributable to Home Health Care were $288.3 million for the three months ended September 30, 2026, as compared with $189.2 million for the three months ended September 30, 2025, an increase of $99.1 million or 52.4%. Revenues attributable to Rehab Care were $81.8 million for the three months ended September 30, 2026, as compared with $75.5 million for the</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39" w:name="page40"/>
    <w:bookmarkEnd w:id="39"/>
    <w:p>
      <w:pPr>
        <w:ind w:left="640" w:right="819"/>
        <w:spacing w:after="0" w:line="274" w:lineRule="auto"/>
        <w:rPr>
          <w:sz w:val="20"/>
          <w:szCs w:val="20"/>
          <w:color w:val="auto"/>
        </w:rPr>
      </w:pPr>
      <w:r>
        <w:rPr>
          <w:rFonts w:ascii="Times New Roman" w:cs="Times New Roman" w:eastAsia="Times New Roman" w:hAnsi="Times New Roman"/>
          <w:sz w:val="14"/>
          <w:szCs w:val="14"/>
          <w:color w:val="auto"/>
        </w:rPr>
        <w:t>three months ended September 30, 2025, an increase of $6.3 million or 8.3%. Revenues attributable to Personal Care were $110.7 million for the three months ended September 30, 2026, as compared with $102.4 million for the three months ended September 30, 2025, an increase of $8.3 million or 8.1%.</w:t>
      </w:r>
    </w:p>
    <w:p>
      <w:pPr>
        <w:spacing w:after="0" w:line="13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Cost of Services</w:t>
      </w:r>
    </w:p>
    <w:p>
      <w:pPr>
        <w:spacing w:after="0" w:line="99" w:lineRule="exact"/>
        <w:rPr>
          <w:sz w:val="20"/>
          <w:szCs w:val="20"/>
          <w:color w:val="auto"/>
        </w:rPr>
      </w:pPr>
    </w:p>
    <w:p>
      <w:pPr>
        <w:ind w:left="640" w:right="859" w:firstLine="351"/>
        <w:spacing w:after="0" w:line="274" w:lineRule="auto"/>
        <w:rPr>
          <w:sz w:val="20"/>
          <w:szCs w:val="20"/>
          <w:color w:val="auto"/>
        </w:rPr>
      </w:pPr>
      <w:r>
        <w:rPr>
          <w:rFonts w:ascii="Times New Roman" w:cs="Times New Roman" w:eastAsia="Times New Roman" w:hAnsi="Times New Roman"/>
          <w:sz w:val="14"/>
          <w:szCs w:val="14"/>
          <w:color w:val="auto"/>
        </w:rPr>
        <w:t>Cost of services was $278.3 million for the three months ended September 30, 2026, as compared with $220.8 million for the three months ended September 30, 2025, an increase of $57.5 million or 26.0% The increase primarily resulted from the aforementioned revenue growth.</w:t>
      </w:r>
    </w:p>
    <w:p>
      <w:pPr>
        <w:spacing w:after="0" w:line="50" w:lineRule="exact"/>
        <w:rPr>
          <w:sz w:val="20"/>
          <w:szCs w:val="20"/>
          <w:color w:val="auto"/>
        </w:rPr>
      </w:pPr>
    </w:p>
    <w:p>
      <w:pPr>
        <w:ind w:left="640" w:right="759" w:firstLine="351"/>
        <w:spacing w:after="0" w:line="274" w:lineRule="auto"/>
        <w:rPr>
          <w:sz w:val="20"/>
          <w:szCs w:val="20"/>
          <w:color w:val="auto"/>
        </w:rPr>
      </w:pPr>
      <w:r>
        <w:rPr>
          <w:rFonts w:ascii="Times New Roman" w:cs="Times New Roman" w:eastAsia="Times New Roman" w:hAnsi="Times New Roman"/>
          <w:sz w:val="14"/>
          <w:szCs w:val="14"/>
          <w:color w:val="auto"/>
        </w:rPr>
        <w:t>Gross profit was $202.5 million for the three months ended September 30, 2026, as compared with $146.4 million for the three months ended September 30, 2025, an increase of $56.2 million or 38.4%. The increase primarily resulted from the aforementioned revenue growth and costs of services improvements in the period.</w:t>
      </w:r>
    </w:p>
    <w:p>
      <w:pPr>
        <w:spacing w:after="0" w:line="13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Selling, General, and Administrative Expenses</w:t>
      </w:r>
    </w:p>
    <w:p>
      <w:pPr>
        <w:spacing w:after="0" w:line="99" w:lineRule="exact"/>
        <w:rPr>
          <w:sz w:val="20"/>
          <w:szCs w:val="20"/>
          <w:color w:val="auto"/>
        </w:rPr>
      </w:pPr>
    </w:p>
    <w:p>
      <w:pPr>
        <w:ind w:left="640" w:right="699" w:firstLine="351"/>
        <w:spacing w:after="0" w:line="274" w:lineRule="auto"/>
        <w:rPr>
          <w:sz w:val="20"/>
          <w:szCs w:val="20"/>
          <w:color w:val="auto"/>
        </w:rPr>
      </w:pPr>
      <w:r>
        <w:rPr>
          <w:rFonts w:ascii="Times New Roman" w:cs="Times New Roman" w:eastAsia="Times New Roman" w:hAnsi="Times New Roman"/>
          <w:sz w:val="14"/>
          <w:szCs w:val="14"/>
          <w:color w:val="auto"/>
        </w:rPr>
        <w:t>Selling, general, and administrative expenses were $128.6 million for the three months ended September 30, 2026, as compared with $93.0 million for the three months ended September 30, 2025, an increase of $35.6 million or 38.2%. The increase primarily resulted from the aforementioned revenue and gross profit growth in the period.</w:t>
      </w:r>
    </w:p>
    <w:p>
      <w:pPr>
        <w:spacing w:after="0" w:line="13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Segment EBITDA</w:t>
      </w:r>
    </w:p>
    <w:p>
      <w:pPr>
        <w:spacing w:after="0" w:line="99" w:lineRule="exact"/>
        <w:rPr>
          <w:sz w:val="20"/>
          <w:szCs w:val="20"/>
          <w:color w:val="auto"/>
        </w:rPr>
      </w:pPr>
    </w:p>
    <w:p>
      <w:pPr>
        <w:ind w:left="640" w:right="839" w:firstLine="351"/>
        <w:spacing w:after="0" w:line="268" w:lineRule="auto"/>
        <w:rPr>
          <w:sz w:val="20"/>
          <w:szCs w:val="20"/>
          <w:color w:val="auto"/>
        </w:rPr>
      </w:pPr>
      <w:r>
        <w:rPr>
          <w:rFonts w:ascii="Times New Roman" w:cs="Times New Roman" w:eastAsia="Times New Roman" w:hAnsi="Times New Roman"/>
          <w:sz w:val="14"/>
          <w:szCs w:val="14"/>
          <w:color w:val="auto"/>
        </w:rPr>
        <w:t>Segment EBITDA was $79.0 million for the three months ended September 30, 2026, as compared with $60.7 million for the three months ended September 30, 2025, an increase of $18.3 million or 30.1%. The increase primarily resulted from the aforementioned revenue growth. See Note 11 “Segment Information" to our unaudited condensed consolidated financial statements and related notes included elsewhere in this Quarterly Report on Form 10-Q for further discussion.</w:t>
      </w:r>
    </w:p>
    <w:p>
      <w:pPr>
        <w:spacing w:after="0" w:line="13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Nine Months Ended September 30, 2026 Compared to Nine Months Ended September 30, 2025</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The following table sets forth, for the years indicated, our segment results of operations for Provider Services.</w:t>
      </w:r>
    </w:p>
    <w:p>
      <w:pPr>
        <w:spacing w:after="0" w:line="178" w:lineRule="exact"/>
        <w:rPr>
          <w:sz w:val="20"/>
          <w:szCs w:val="20"/>
          <w:color w:val="auto"/>
        </w:rPr>
      </w:pPr>
    </w:p>
    <w:tbl>
      <w:tblPr>
        <w:tblLayout w:type="fixed"/>
        <w:tblInd w:w="640" w:type="dxa"/>
        <w:tblCellMar>
          <w:top w:w="0" w:type="dxa"/>
          <w:left w:w="0" w:type="dxa"/>
          <w:bottom w:w="0" w:type="dxa"/>
          <w:right w:w="0" w:type="dxa"/>
        </w:tblCellMar>
      </w:tblPr>
      <w:tr>
        <w:trPr>
          <w:trHeight w:val="137"/>
        </w:trPr>
        <w:tc>
          <w:tcPr>
            <w:tcW w:w="394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i w:val="1"/>
                <w:iCs w:val="1"/>
                <w:color w:val="auto"/>
              </w:rPr>
              <w:t>($ in thousands, except Business Metrics)</w:t>
            </w: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980" w:type="dxa"/>
            <w:vAlign w:val="bottom"/>
            <w:tcBorders>
              <w:bottom w:val="single" w:sz="8" w:color="auto"/>
            </w:tcBorders>
            <w:gridSpan w:val="6"/>
          </w:tcPr>
          <w:p>
            <w:pPr>
              <w:ind w:left="300"/>
              <w:spacing w:after="0"/>
              <w:rPr>
                <w:sz w:val="20"/>
                <w:szCs w:val="20"/>
                <w:color w:val="auto"/>
              </w:rPr>
            </w:pPr>
            <w:r>
              <w:rPr>
                <w:rFonts w:ascii="Times New Roman" w:cs="Times New Roman" w:eastAsia="Times New Roman" w:hAnsi="Times New Roman"/>
                <w:sz w:val="11"/>
                <w:szCs w:val="11"/>
                <w:b w:val="1"/>
                <w:bCs w:val="1"/>
                <w:color w:val="auto"/>
              </w:rPr>
              <w:t>Provider Services</w:t>
            </w:r>
          </w:p>
        </w:tc>
        <w:tc>
          <w:tcPr>
            <w:tcW w:w="5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394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620" w:type="dxa"/>
            <w:vAlign w:val="bottom"/>
            <w:gridSpan w:val="4"/>
          </w:tcPr>
          <w:p>
            <w:pPr>
              <w:jc w:val="right"/>
              <w:ind w:right="131"/>
              <w:spacing w:after="0" w:line="101" w:lineRule="exact"/>
              <w:rPr>
                <w:sz w:val="20"/>
                <w:szCs w:val="20"/>
                <w:color w:val="auto"/>
              </w:rPr>
            </w:pPr>
            <w:r>
              <w:rPr>
                <w:rFonts w:ascii="Times New Roman" w:cs="Times New Roman" w:eastAsia="Times New Roman" w:hAnsi="Times New Roman"/>
                <w:sz w:val="11"/>
                <w:szCs w:val="11"/>
                <w:b w:val="1"/>
                <w:bCs w:val="1"/>
                <w:color w:val="auto"/>
              </w:rPr>
              <w:t>For the Nine Months Ended</w:t>
            </w: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gridSpan w:val="3"/>
            <w:vMerge w:val="restart"/>
          </w:tcPr>
          <w:p>
            <w:pPr>
              <w:ind w:left="56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9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620" w:type="dxa"/>
            <w:vAlign w:val="bottom"/>
            <w:tcBorders>
              <w:bottom w:val="single" w:sz="8" w:color="auto"/>
            </w:tcBorders>
            <w:gridSpan w:val="4"/>
          </w:tcPr>
          <w:p>
            <w:pPr>
              <w:jc w:val="right"/>
              <w:ind w:right="471"/>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1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gridSpan w:val="3"/>
            <w:vMerge w:val="continue"/>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9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jc w:val="right"/>
              <w:ind w:right="212"/>
              <w:spacing w:after="0" w:line="109" w:lineRule="exact"/>
              <w:rPr>
                <w:sz w:val="20"/>
                <w:szCs w:val="20"/>
                <w:color w:val="auto"/>
              </w:rPr>
            </w:pPr>
            <w:r>
              <w:rPr>
                <w:rFonts w:ascii="Times New Roman" w:cs="Times New Roman" w:eastAsia="Times New Roman" w:hAnsi="Times New Roman"/>
                <w:sz w:val="11"/>
                <w:szCs w:val="11"/>
                <w:b w:val="1"/>
                <w:bCs w:val="1"/>
                <w:color w:val="auto"/>
              </w:rPr>
              <w:t>2026</w:t>
            </w:r>
          </w:p>
        </w:tc>
        <w:tc>
          <w:tcPr>
            <w:tcW w:w="1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jc w:val="right"/>
              <w:ind w:right="211"/>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1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jc w:val="right"/>
              <w:ind w:right="111"/>
              <w:spacing w:after="0" w:line="109" w:lineRule="exact"/>
              <w:rPr>
                <w:sz w:val="20"/>
                <w:szCs w:val="20"/>
                <w:color w:val="auto"/>
              </w:rPr>
            </w:pPr>
            <w:r>
              <w:rPr>
                <w:rFonts w:ascii="Times New Roman" w:cs="Times New Roman" w:eastAsia="Times New Roman" w:hAnsi="Times New Roman"/>
                <w:sz w:val="11"/>
                <w:szCs w:val="11"/>
                <w:b w:val="1"/>
                <w:bCs w:val="1"/>
                <w:color w:val="auto"/>
              </w:rPr>
              <w:t>Amount</w:t>
            </w:r>
          </w:p>
        </w:tc>
        <w:tc>
          <w:tcPr>
            <w:tcW w:w="16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jc w:val="right"/>
              <w:ind w:right="290"/>
              <w:spacing w:after="0" w:line="109" w:lineRule="exact"/>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Revenues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1,389,145</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1,070,695</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318,450</w:t>
            </w: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29.7%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4"/>
                <w:szCs w:val="14"/>
                <w:color w:val="auto"/>
              </w:rPr>
              <w:t>Cost of services</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810,596</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648,773</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161,823</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24.9%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vMerge w:val="continue"/>
          </w:tcPr>
          <w:p>
            <w:pPr>
              <w:spacing w:after="0"/>
              <w:rPr>
                <w:sz w:val="14"/>
                <w:szCs w:val="14"/>
                <w:color w:val="auto"/>
              </w:rPr>
            </w:pPr>
          </w:p>
        </w:tc>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Gross profit</w:t>
            </w:r>
          </w:p>
        </w:tc>
        <w:tc>
          <w:tcPr>
            <w:tcW w:w="14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578,549</w:t>
            </w: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421,922</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156,627</w:t>
            </w: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37.1%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379,515</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275,000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104,515</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38.0%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vMerge w:val="continue"/>
          </w:tcPr>
          <w:p>
            <w:pPr>
              <w:spacing w:after="0"/>
              <w:rPr>
                <w:sz w:val="14"/>
                <w:szCs w:val="14"/>
                <w:color w:val="auto"/>
              </w:rPr>
            </w:pPr>
          </w:p>
        </w:tc>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Segment operating income</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199,034</w:t>
            </w: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146,922</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52,112</w:t>
            </w: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35.5%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vMerge w:val="continue"/>
          </w:tcPr>
          <w:p>
            <w:pPr>
              <w:spacing w:after="0"/>
              <w:rPr>
                <w:sz w:val="14"/>
                <w:szCs w:val="14"/>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4"/>
                <w:szCs w:val="14"/>
                <w:color w:val="auto"/>
              </w:rPr>
              <w:t>Segment EBITDA</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219,793</w:t>
            </w:r>
          </w:p>
        </w:tc>
        <w:tc>
          <w:tcPr>
            <w:tcW w:w="16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168,205</w:t>
            </w:r>
          </w:p>
        </w:tc>
        <w:tc>
          <w:tcPr>
            <w:tcW w:w="16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51,588</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30.7%</w:t>
            </w:r>
          </w:p>
        </w:tc>
        <w:tc>
          <w:tcPr>
            <w:tcW w:w="0" w:type="dxa"/>
            <w:vAlign w:val="bottom"/>
          </w:tcPr>
          <w:p>
            <w:pPr>
              <w:spacing w:after="0"/>
              <w:rPr>
                <w:sz w:val="1"/>
                <w:szCs w:val="1"/>
                <w:color w:val="auto"/>
              </w:rPr>
            </w:pPr>
          </w:p>
        </w:tc>
      </w:tr>
      <w:tr>
        <w:trPr>
          <w:trHeight w:val="163"/>
        </w:trPr>
        <w:tc>
          <w:tcPr>
            <w:tcW w:w="20" w:type="dxa"/>
            <w:vAlign w:val="bottom"/>
            <w:vMerge w:val="restart"/>
          </w:tcPr>
          <w:p>
            <w:pPr>
              <w:spacing w:after="0"/>
              <w:rPr>
                <w:sz w:val="14"/>
                <w:szCs w:val="14"/>
                <w:color w:val="auto"/>
              </w:rPr>
            </w:pPr>
          </w:p>
        </w:tc>
        <w:tc>
          <w:tcPr>
            <w:tcW w:w="392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660" w:type="dxa"/>
            <w:vAlign w:val="bottom"/>
            <w:tcBorders>
              <w:top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660" w:type="dxa"/>
            <w:vAlign w:val="bottom"/>
            <w:tcBorders>
              <w:top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640" w:type="dxa"/>
            <w:vAlign w:val="bottom"/>
            <w:tcBorders>
              <w:top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40" w:type="dxa"/>
            <w:vAlign w:val="bottom"/>
            <w:tcBorders>
              <w:top w:val="single" w:sz="8" w:color="auto"/>
            </w:tcBorders>
            <w:shd w:val="clear" w:color="auto" w:fill="CFF0FC"/>
          </w:tcPr>
          <w:p>
            <w:pPr>
              <w:spacing w:after="0"/>
              <w:rPr>
                <w:sz w:val="14"/>
                <w:szCs w:val="14"/>
                <w:color w:val="auto"/>
              </w:rPr>
            </w:pPr>
          </w:p>
        </w:tc>
        <w:tc>
          <w:tcPr>
            <w:tcW w:w="580" w:type="dxa"/>
            <w:vAlign w:val="bottom"/>
            <w:tcBorders>
              <w:top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4"/>
                <w:szCs w:val="14"/>
                <w:color w:val="auto"/>
              </w:rPr>
              <w:t>Business Metrics:</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Home Health Care average daily census*</w:t>
            </w:r>
          </w:p>
        </w:tc>
        <w:tc>
          <w:tcPr>
            <w:tcW w:w="14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46,898</w:t>
            </w: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30,212</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16,686</w:t>
            </w: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55.2%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Rehab Care persons served*</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7,345</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6,806</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539</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7.9%</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Personal Care persons served</w:t>
            </w:r>
          </w:p>
        </w:tc>
        <w:tc>
          <w:tcPr>
            <w:tcW w:w="14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16,253</w:t>
            </w: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16,046</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3419475</wp:posOffset>
            </wp:positionH>
            <wp:positionV relativeFrom="paragraph">
              <wp:posOffset>-667385</wp:posOffset>
            </wp:positionV>
            <wp:extent cx="47625" cy="698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4025900</wp:posOffset>
            </wp:positionH>
            <wp:positionV relativeFrom="paragraph">
              <wp:posOffset>-667385</wp:posOffset>
            </wp:positionV>
            <wp:extent cx="47625" cy="698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4612640</wp:posOffset>
            </wp:positionH>
            <wp:positionV relativeFrom="paragraph">
              <wp:posOffset>-667385</wp:posOffset>
            </wp:positionV>
            <wp:extent cx="47625" cy="698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5226685</wp:posOffset>
            </wp:positionH>
            <wp:positionV relativeFrom="paragraph">
              <wp:posOffset>-667385</wp:posOffset>
            </wp:positionV>
            <wp:extent cx="88900" cy="698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88900" cy="6985"/>
                    </a:xfrm>
                    <a:prstGeom prst="rect">
                      <a:avLst/>
                    </a:prstGeom>
                    <a:noFill/>
                  </pic:spPr>
                </pic:pic>
              </a:graphicData>
            </a:graphic>
          </wp:anchor>
        </w:drawing>
      </w:r>
    </w:p>
    <w:p>
      <w:pPr>
        <w:spacing w:after="0" w:line="47" w:lineRule="exact"/>
        <w:rPr>
          <w:sz w:val="20"/>
          <w:szCs w:val="20"/>
          <w:color w:val="auto"/>
        </w:rPr>
      </w:pPr>
    </w:p>
    <w:p>
      <w:pPr>
        <w:ind w:left="640" w:right="679" w:hanging="2"/>
        <w:spacing w:after="0" w:line="246" w:lineRule="auto"/>
        <w:tabs>
          <w:tab w:leader="none" w:pos="726" w:val="left"/>
        </w:tabs>
        <w:numPr>
          <w:ilvl w:val="0"/>
          <w:numId w:val="21"/>
        </w:numPr>
        <w:rPr>
          <w:rFonts w:ascii="Times New Roman" w:cs="Times New Roman" w:eastAsia="Times New Roman" w:hAnsi="Times New Roman"/>
          <w:sz w:val="11"/>
          <w:szCs w:val="11"/>
          <w:i w:val="1"/>
          <w:iCs w:val="1"/>
          <w:color w:val="auto"/>
        </w:rPr>
      </w:pPr>
      <w:r>
        <w:rPr>
          <w:rFonts w:ascii="Times New Roman" w:cs="Times New Roman" w:eastAsia="Times New Roman" w:hAnsi="Times New Roman"/>
          <w:sz w:val="11"/>
          <w:szCs w:val="11"/>
          <w:i w:val="1"/>
          <w:iCs w:val="1"/>
          <w:color w:val="auto"/>
        </w:rPr>
        <w:t>Effective July 1, 2026, the Company realigned its Rehab in Motion business from the Rehab Care sub-segment to the Home Health Care sub-segment to reflect how the business is managed. Prior period sub-segment information has been recast to conform to the current presentation. The change did not affect consolidated company or segment results. The impact on prior periods was not material.</w:t>
      </w:r>
    </w:p>
    <w:p>
      <w:pPr>
        <w:spacing w:after="0" w:line="142" w:lineRule="exact"/>
        <w:rPr>
          <w:sz w:val="20"/>
          <w:szCs w:val="20"/>
          <w:color w:val="auto"/>
        </w:rPr>
      </w:pPr>
    </w:p>
    <w:p>
      <w:pPr>
        <w:ind w:left="640" w:right="1039" w:firstLine="516"/>
        <w:spacing w:after="0" w:line="292" w:lineRule="auto"/>
        <w:rPr>
          <w:sz w:val="20"/>
          <w:szCs w:val="20"/>
          <w:color w:val="auto"/>
        </w:rPr>
      </w:pPr>
      <w:r>
        <w:rPr>
          <w:rFonts w:ascii="Times New Roman" w:cs="Times New Roman" w:eastAsia="Times New Roman" w:hAnsi="Times New Roman"/>
          <w:sz w:val="14"/>
          <w:szCs w:val="14"/>
          <w:color w:val="auto"/>
        </w:rPr>
        <w:t>The following discussion of our Provider Services segment results of operations should be read in conjunction with the foregoing table summarizing our segment results of operations.</w:t>
      </w:r>
    </w:p>
    <w:p>
      <w:pPr>
        <w:spacing w:after="0" w:line="1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Revenues</w:t>
      </w:r>
    </w:p>
    <w:p>
      <w:pPr>
        <w:spacing w:after="0" w:line="99" w:lineRule="exact"/>
        <w:rPr>
          <w:sz w:val="20"/>
          <w:szCs w:val="20"/>
          <w:color w:val="auto"/>
        </w:rPr>
      </w:pPr>
    </w:p>
    <w:p>
      <w:pPr>
        <w:ind w:left="640" w:right="699" w:firstLine="351"/>
        <w:spacing w:after="0" w:line="274" w:lineRule="auto"/>
        <w:rPr>
          <w:sz w:val="20"/>
          <w:szCs w:val="20"/>
          <w:color w:val="auto"/>
        </w:rPr>
      </w:pPr>
      <w:r>
        <w:rPr>
          <w:rFonts w:ascii="Times New Roman" w:cs="Times New Roman" w:eastAsia="Times New Roman" w:hAnsi="Times New Roman"/>
          <w:sz w:val="14"/>
          <w:szCs w:val="14"/>
          <w:color w:val="auto"/>
        </w:rPr>
        <w:t>Revenues were $1,389.1 million for the nine months ended September 30, 2026, as compared with $1,070.7 million for the nine months ended September 30, 2025, an increase of $318.5 million or 29.7%. The increase primarily resulted from the following segment activity and factors:</w:t>
      </w:r>
    </w:p>
    <w:p>
      <w:pPr>
        <w:spacing w:after="0" w:line="50" w:lineRule="exact"/>
        <w:rPr>
          <w:sz w:val="20"/>
          <w:szCs w:val="20"/>
          <w:color w:val="auto"/>
        </w:rPr>
      </w:pPr>
    </w:p>
    <w:p>
      <w:pPr>
        <w:ind w:left="1340" w:hanging="352"/>
        <w:spacing w:after="0"/>
        <w:tabs>
          <w:tab w:leader="none" w:pos="13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$232.5 million, or 21.7%, increase from the Amedisys and LHC Branches acquisition; and</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$86.0 million, or 8.0%, increase primarily from volume growth as well as rate increases received during the period.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40" w:name="page41"/>
    <w:bookmarkEnd w:id="40"/>
    <w:p>
      <w:pPr>
        <w:ind w:left="640" w:right="659" w:firstLine="516"/>
        <w:spacing w:after="0" w:line="263" w:lineRule="auto"/>
        <w:rPr>
          <w:sz w:val="20"/>
          <w:szCs w:val="20"/>
          <w:color w:val="auto"/>
        </w:rPr>
      </w:pPr>
      <w:r>
        <w:rPr>
          <w:rFonts w:ascii="Times New Roman" w:cs="Times New Roman" w:eastAsia="Times New Roman" w:hAnsi="Times New Roman"/>
          <w:sz w:val="14"/>
          <w:szCs w:val="14"/>
          <w:color w:val="auto"/>
        </w:rPr>
        <w:t>Revenues attributable to Home Health Care were $833.7 million for the nine months ended September 30, 2026, as compared with $552.8 million for the nine months ended September 30, 2025, an increase of $280.9 million or 50.8%. Revenues attributable to Rehab Care were $236.3 million for the nine months ended September 30, 2026, as compared with $217.9 million for the nine months ended September 30, 2025, an increase of $18.4 million or 8.4%. Revenues attributable to Personal Care were $319.1 million for the nine months ended September 30, 2026, as compared with $300.0 million for the nine months ended September 30, 2025, an increase of $19.1 million or 6.4%.</w:t>
      </w:r>
    </w:p>
    <w:p>
      <w:pPr>
        <w:spacing w:after="0" w:line="14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Cost of Services</w:t>
      </w:r>
    </w:p>
    <w:p>
      <w:pPr>
        <w:spacing w:after="0" w:line="99" w:lineRule="exact"/>
        <w:rPr>
          <w:sz w:val="20"/>
          <w:szCs w:val="20"/>
          <w:color w:val="auto"/>
        </w:rPr>
      </w:pPr>
    </w:p>
    <w:p>
      <w:pPr>
        <w:ind w:left="640" w:right="899" w:firstLine="351"/>
        <w:spacing w:after="0" w:line="274" w:lineRule="auto"/>
        <w:rPr>
          <w:sz w:val="20"/>
          <w:szCs w:val="20"/>
          <w:color w:val="auto"/>
        </w:rPr>
      </w:pPr>
      <w:r>
        <w:rPr>
          <w:rFonts w:ascii="Times New Roman" w:cs="Times New Roman" w:eastAsia="Times New Roman" w:hAnsi="Times New Roman"/>
          <w:sz w:val="14"/>
          <w:szCs w:val="14"/>
          <w:color w:val="auto"/>
        </w:rPr>
        <w:t>Cost of services was $810.6 million for the nine months ended September 30, 2026, as compared with $648.8 million for the nine months ended September 30, 2025, an increase of $161.8 million or 24.9%. The increase primarily resulted from the aforementioned revenue growth.</w:t>
      </w:r>
    </w:p>
    <w:p>
      <w:pPr>
        <w:spacing w:after="0" w:line="50" w:lineRule="exact"/>
        <w:rPr>
          <w:sz w:val="20"/>
          <w:szCs w:val="20"/>
          <w:color w:val="auto"/>
        </w:rPr>
      </w:pPr>
    </w:p>
    <w:p>
      <w:pPr>
        <w:jc w:val="both"/>
        <w:ind w:left="640" w:right="779" w:firstLine="351"/>
        <w:spacing w:after="0" w:line="274" w:lineRule="auto"/>
        <w:rPr>
          <w:sz w:val="20"/>
          <w:szCs w:val="20"/>
          <w:color w:val="auto"/>
        </w:rPr>
      </w:pPr>
      <w:r>
        <w:rPr>
          <w:rFonts w:ascii="Times New Roman" w:cs="Times New Roman" w:eastAsia="Times New Roman" w:hAnsi="Times New Roman"/>
          <w:sz w:val="14"/>
          <w:szCs w:val="14"/>
          <w:color w:val="auto"/>
        </w:rPr>
        <w:t>Gross profit was $578.5 million for the nine months ended September 30, 2026, as compared with $421.9 million for the nine months ended September 30, 2025, an increase of $156.6 million or 37.1%. The increase primarily resulted from the aforementioned revenue growth and costs of services improvements in the period.</w:t>
      </w:r>
    </w:p>
    <w:p>
      <w:pPr>
        <w:spacing w:after="0" w:line="13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Selling, General, and Administrative Expenses</w:t>
      </w:r>
    </w:p>
    <w:p>
      <w:pPr>
        <w:spacing w:after="0" w:line="99" w:lineRule="exact"/>
        <w:rPr>
          <w:sz w:val="20"/>
          <w:szCs w:val="20"/>
          <w:color w:val="auto"/>
        </w:rPr>
      </w:pPr>
    </w:p>
    <w:p>
      <w:pPr>
        <w:ind w:left="640" w:right="739" w:firstLine="351"/>
        <w:spacing w:after="0" w:line="274" w:lineRule="auto"/>
        <w:rPr>
          <w:sz w:val="20"/>
          <w:szCs w:val="20"/>
          <w:color w:val="auto"/>
        </w:rPr>
      </w:pPr>
      <w:r>
        <w:rPr>
          <w:rFonts w:ascii="Times New Roman" w:cs="Times New Roman" w:eastAsia="Times New Roman" w:hAnsi="Times New Roman"/>
          <w:sz w:val="14"/>
          <w:szCs w:val="14"/>
          <w:color w:val="auto"/>
        </w:rPr>
        <w:t>Selling, general, and administrative expenses were $379.5 million for the nine months ended September 30, 2026, as compared with $275.0 million for the nine months ended September 30, 2025, an increase of $104.5 million or 38.0%. The increase primarily resulted from the aforementioned revenue and gross profit growth in the period.</w:t>
      </w:r>
    </w:p>
    <w:p>
      <w:pPr>
        <w:spacing w:after="0" w:line="13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Segment EBITDA</w:t>
      </w:r>
    </w:p>
    <w:p>
      <w:pPr>
        <w:spacing w:after="0" w:line="99" w:lineRule="exact"/>
        <w:rPr>
          <w:sz w:val="20"/>
          <w:szCs w:val="20"/>
          <w:color w:val="auto"/>
        </w:rPr>
      </w:pPr>
    </w:p>
    <w:p>
      <w:pPr>
        <w:ind w:left="640" w:right="739" w:firstLine="351"/>
        <w:spacing w:after="0" w:line="268" w:lineRule="auto"/>
        <w:rPr>
          <w:sz w:val="20"/>
          <w:szCs w:val="20"/>
          <w:color w:val="auto"/>
        </w:rPr>
      </w:pPr>
      <w:r>
        <w:rPr>
          <w:rFonts w:ascii="Times New Roman" w:cs="Times New Roman" w:eastAsia="Times New Roman" w:hAnsi="Times New Roman"/>
          <w:sz w:val="14"/>
          <w:szCs w:val="14"/>
          <w:color w:val="auto"/>
        </w:rPr>
        <w:t>Segment EBITDA was $219.8 million for the nine months ended September 30, 2026, as compared with $168.2 million for the nine months ended September 30, 2025, an increase of $51.6 million or 30.7%. The increase primarily resulted from the aforementioned revenue growth. See Note 11 “Segment Information" to our unaudited condensed consolidated financial statements and related notes included elsewhere in this Quarterly Report on Form 10-Q for further discussion.</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Non-GAAP Financial Measures</w:t>
      </w:r>
    </w:p>
    <w:p>
      <w:pPr>
        <w:spacing w:after="0" w:line="99" w:lineRule="exact"/>
        <w:rPr>
          <w:sz w:val="20"/>
          <w:szCs w:val="20"/>
          <w:color w:val="auto"/>
        </w:rPr>
      </w:pPr>
    </w:p>
    <w:p>
      <w:pPr>
        <w:ind w:left="640" w:right="799" w:firstLine="351"/>
        <w:spacing w:after="0" w:line="268" w:lineRule="auto"/>
        <w:rPr>
          <w:sz w:val="20"/>
          <w:szCs w:val="20"/>
          <w:color w:val="auto"/>
        </w:rPr>
      </w:pPr>
      <w:r>
        <w:rPr>
          <w:rFonts w:ascii="Times New Roman" w:cs="Times New Roman" w:eastAsia="Times New Roman" w:hAnsi="Times New Roman"/>
          <w:sz w:val="14"/>
          <w:szCs w:val="14"/>
          <w:color w:val="auto"/>
        </w:rPr>
        <w:t>In addition to our results of operations prepared in accordance with U.S. GAAP, which we have discussed above, we also evaluate our financial performance using EBITDA, Adjusted EBITDA, and Adjusted EPS. These non-GAAP financial measures are not intended to replace financial performance measures determined in accordance with U.S. GAAP, such as net income and diluted EPS. Rather, we present EBITDA, Adjusted EBITDA, and Adjusted EPS as supplemental measures of our performance.</w:t>
      </w:r>
    </w:p>
    <w:p>
      <w:pPr>
        <w:spacing w:after="0" w:line="13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EBITDA, Adjusted EBITDA, and Adjusted EPS</w:t>
      </w:r>
    </w:p>
    <w:p>
      <w:pPr>
        <w:spacing w:after="0" w:line="99" w:lineRule="exact"/>
        <w:rPr>
          <w:sz w:val="20"/>
          <w:szCs w:val="20"/>
          <w:color w:val="auto"/>
        </w:rPr>
      </w:pPr>
    </w:p>
    <w:p>
      <w:pPr>
        <w:ind w:left="640" w:right="759" w:firstLine="516"/>
        <w:spacing w:after="0" w:line="259" w:lineRule="auto"/>
        <w:rPr>
          <w:sz w:val="20"/>
          <w:szCs w:val="20"/>
          <w:color w:val="auto"/>
        </w:rPr>
      </w:pPr>
      <w:r>
        <w:rPr>
          <w:rFonts w:ascii="Times New Roman" w:cs="Times New Roman" w:eastAsia="Times New Roman" w:hAnsi="Times New Roman"/>
          <w:sz w:val="14"/>
          <w:szCs w:val="14"/>
          <w:color w:val="auto"/>
        </w:rPr>
        <w:t>The following are key financial metrics and, when used in conjunction with U.S. GAAP measures, we believe they provide useful information for evaluating our core business performance, enable comparison of financial results across periods, and allow for greater transparency with respect to key metrics used by management for financial and operational decision-making. We define EBITDA as net income before income tax expense, interest expense, net, and depreciation and amortization. Adjusted EBITDA and Adjusted EPS exclude certain other items that are either non-recurring, infrequent, non-cash, unusual, or items deemed by management to not be indicative of the performance of our core operations, including non-cash, share-based compensation; acquisition, integration, and transaction-related costs; and restructuring and divestiture-related and other costs. In determining which adjustments are made to arrive at Adjusted EBITDA and Adjusted EPS, management considers both (1) certain non-recurring, infrequent, non-cash, or unusual items, which can vary significantly from year to year, as well as (2) certain other items that may be recurring, frequent, or settled in cash but which management does not believe are indicative of our core operating performance. The financial measure calculated under U.S. GAAP which is most directly comparable to Adjusted EBITDA is net income. The financial measure calculated under U.S. GAAP which is most directly comparable to Adjusted EPS is diluted EPS.</w:t>
      </w:r>
    </w:p>
    <w:p>
      <w:pPr>
        <w:spacing w:after="0" w:line="63" w:lineRule="exact"/>
        <w:rPr>
          <w:sz w:val="20"/>
          <w:szCs w:val="20"/>
          <w:color w:val="auto"/>
        </w:rPr>
      </w:pPr>
    </w:p>
    <w:p>
      <w:pPr>
        <w:ind w:left="640" w:right="659" w:firstLine="351"/>
        <w:spacing w:after="0" w:line="268" w:lineRule="auto"/>
        <w:rPr>
          <w:sz w:val="20"/>
          <w:szCs w:val="20"/>
          <w:color w:val="auto"/>
        </w:rPr>
      </w:pPr>
      <w:r>
        <w:rPr>
          <w:rFonts w:ascii="Times New Roman" w:cs="Times New Roman" w:eastAsia="Times New Roman" w:hAnsi="Times New Roman"/>
          <w:sz w:val="14"/>
          <w:szCs w:val="14"/>
          <w:color w:val="auto"/>
        </w:rPr>
        <w:t>We have historically incurred substantial acquisition, integration, and transaction-related costs. The underlying acquisition activities take place over a defined timeframe, have distinct project timelines, and are incremental to activities and costs that arise in the ordinary course of our business. Therefore, we have excluded these costs from our Adjusted EBITDA and Adjusted EPS because it provides management a normalized view of our core, ongoing operations after integrating our acquired companies.</w:t>
      </w:r>
    </w:p>
    <w:p>
      <w:pPr>
        <w:spacing w:after="0" w:line="54" w:lineRule="exact"/>
        <w:rPr>
          <w:sz w:val="20"/>
          <w:szCs w:val="20"/>
          <w:color w:val="auto"/>
        </w:rPr>
      </w:pPr>
    </w:p>
    <w:p>
      <w:pPr>
        <w:ind w:left="640" w:right="659" w:firstLine="516"/>
        <w:spacing w:after="0" w:line="268" w:lineRule="auto"/>
        <w:rPr>
          <w:sz w:val="20"/>
          <w:szCs w:val="20"/>
          <w:color w:val="auto"/>
        </w:rPr>
      </w:pPr>
      <w:r>
        <w:rPr>
          <w:rFonts w:ascii="Times New Roman" w:cs="Times New Roman" w:eastAsia="Times New Roman" w:hAnsi="Times New Roman"/>
          <w:sz w:val="14"/>
          <w:szCs w:val="14"/>
          <w:color w:val="auto"/>
        </w:rPr>
        <w:t>EBITDA, Adjusted EBITDA, and Adjusted EPS are not measures of financial performance under U.S. GAAP and should be considered in addition to, and not as a substitute for, net income, diluted EPS or other financial measures calculated in accordance with U.S. GAAP. Our method of determining non-GAAP financial measures may differ from other companies’ financial measures and therefore may not be comparable to methods used by other companies.</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41" w:name="page42"/>
    <w:bookmarkEnd w:id="41"/>
    <w:p>
      <w:pPr>
        <w:ind w:left="640" w:right="899" w:firstLine="351"/>
        <w:spacing w:after="0" w:line="268" w:lineRule="auto"/>
        <w:rPr>
          <w:sz w:val="20"/>
          <w:szCs w:val="20"/>
          <w:color w:val="auto"/>
        </w:rPr>
      </w:pPr>
      <w:r>
        <w:rPr>
          <w:rFonts w:ascii="Times New Roman" w:cs="Times New Roman" w:eastAsia="Times New Roman" w:hAnsi="Times New Roman"/>
          <w:sz w:val="14"/>
          <w:szCs w:val="14"/>
          <w:color w:val="auto"/>
        </w:rPr>
        <w:t>Given our determination of adjustments in arriving at our computations of EBITDA, Adjusted EBITDA and Adjusted EPS, these non-GAAP measures have limitations as analytical tools and should not be considered in isolation or as substitutes or alternatives to net income or loss, operating income or loss, earnings or loss per diluted share, cash flows from operating activities, total indebtedness, or any other financial measures calculated in accordance with U.S. GAAP.</w:t>
      </w:r>
    </w:p>
    <w:p>
      <w:pPr>
        <w:spacing w:after="0" w:line="5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The following table reconciles net income from continuing operations to EBITDA and Adjusted EBITDA:</w:t>
      </w:r>
    </w:p>
    <w:p>
      <w:pPr>
        <w:spacing w:after="0" w:line="256" w:lineRule="exact"/>
        <w:rPr>
          <w:sz w:val="20"/>
          <w:szCs w:val="20"/>
          <w:color w:val="auto"/>
        </w:rPr>
      </w:pPr>
    </w:p>
    <w:tbl>
      <w:tblPr>
        <w:tblLayout w:type="fixed"/>
        <w:tblInd w:w="640" w:type="dxa"/>
        <w:tblCellMar>
          <w:top w:w="0" w:type="dxa"/>
          <w:left w:w="0" w:type="dxa"/>
          <w:bottom w:w="0" w:type="dxa"/>
          <w:right w:w="0" w:type="dxa"/>
        </w:tblCellMar>
      </w:tblPr>
      <w:tr>
        <w:trPr>
          <w:trHeight w:val="126"/>
        </w:trPr>
        <w:tc>
          <w:tcPr>
            <w:tcW w:w="4000" w:type="dxa"/>
            <w:vAlign w:val="bottom"/>
            <w:gridSpan w:val="2"/>
          </w:tcPr>
          <w:p>
            <w:pPr>
              <w:spacing w:after="0"/>
              <w:rPr>
                <w:sz w:val="20"/>
                <w:szCs w:val="20"/>
                <w:color w:val="auto"/>
              </w:rPr>
            </w:pPr>
            <w:r>
              <w:rPr>
                <w:rFonts w:ascii="Times New Roman" w:cs="Times New Roman" w:eastAsia="Times New Roman" w:hAnsi="Times New Roman"/>
                <w:sz w:val="11"/>
                <w:szCs w:val="11"/>
                <w:i w:val="1"/>
                <w:iCs w:val="1"/>
                <w:color w:val="auto"/>
              </w:rPr>
              <w:t>($ in thousands)</w:t>
            </w:r>
          </w:p>
        </w:tc>
        <w:tc>
          <w:tcPr>
            <w:tcW w:w="100" w:type="dxa"/>
            <w:vAlign w:val="bottom"/>
          </w:tcPr>
          <w:p>
            <w:pPr>
              <w:spacing w:after="0"/>
              <w:rPr>
                <w:sz w:val="11"/>
                <w:szCs w:val="11"/>
                <w:color w:val="auto"/>
              </w:rPr>
            </w:pPr>
          </w:p>
        </w:tc>
        <w:tc>
          <w:tcPr>
            <w:tcW w:w="1640" w:type="dxa"/>
            <w:vAlign w:val="bottom"/>
            <w:gridSpan w:val="4"/>
          </w:tcPr>
          <w:p>
            <w:pPr>
              <w:jc w:val="right"/>
              <w:ind w:right="90"/>
              <w:spacing w:after="0"/>
              <w:rPr>
                <w:sz w:val="20"/>
                <w:szCs w:val="20"/>
                <w:color w:val="auto"/>
              </w:rPr>
            </w:pPr>
            <w:r>
              <w:rPr>
                <w:rFonts w:ascii="Times New Roman" w:cs="Times New Roman" w:eastAsia="Times New Roman" w:hAnsi="Times New Roman"/>
                <w:sz w:val="11"/>
                <w:szCs w:val="11"/>
                <w:b w:val="1"/>
                <w:bCs w:val="1"/>
                <w:color w:val="auto"/>
              </w:rPr>
              <w:t>For the Three Months Ended</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00" w:type="dxa"/>
            <w:vAlign w:val="bottom"/>
            <w:gridSpan w:val="5"/>
          </w:tcPr>
          <w:p>
            <w:pPr>
              <w:ind w:left="60"/>
              <w:spacing w:after="0"/>
              <w:rPr>
                <w:sz w:val="20"/>
                <w:szCs w:val="20"/>
                <w:color w:val="auto"/>
              </w:rPr>
            </w:pPr>
            <w:r>
              <w:rPr>
                <w:rFonts w:ascii="Times New Roman" w:cs="Times New Roman" w:eastAsia="Times New Roman" w:hAnsi="Times New Roman"/>
                <w:sz w:val="11"/>
                <w:szCs w:val="11"/>
                <w:b w:val="1"/>
                <w:bCs w:val="1"/>
                <w:color w:val="auto"/>
              </w:rPr>
              <w:t>For the Nine Months Ended</w:t>
            </w:r>
          </w:p>
        </w:tc>
      </w:tr>
      <w:tr>
        <w:trPr>
          <w:trHeight w:val="137"/>
        </w:trPr>
        <w:tc>
          <w:tcPr>
            <w:tcW w:w="20" w:type="dxa"/>
            <w:vAlign w:val="bottom"/>
          </w:tcPr>
          <w:p>
            <w:pPr>
              <w:spacing w:after="0"/>
              <w:rPr>
                <w:sz w:val="11"/>
                <w:szCs w:val="11"/>
                <w:color w:val="auto"/>
              </w:rPr>
            </w:pPr>
          </w:p>
        </w:tc>
        <w:tc>
          <w:tcPr>
            <w:tcW w:w="39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5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5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109"/>
        </w:trPr>
        <w:tc>
          <w:tcPr>
            <w:tcW w:w="20" w:type="dxa"/>
            <w:vAlign w:val="bottom"/>
          </w:tcPr>
          <w:p>
            <w:pPr>
              <w:spacing w:after="0"/>
              <w:rPr>
                <w:sz w:val="9"/>
                <w:szCs w:val="9"/>
                <w:color w:val="auto"/>
              </w:rPr>
            </w:pPr>
          </w:p>
        </w:tc>
        <w:tc>
          <w:tcPr>
            <w:tcW w:w="39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jc w:val="right"/>
              <w:ind w:right="212"/>
              <w:spacing w:after="0" w:line="109" w:lineRule="exact"/>
              <w:rPr>
                <w:sz w:val="20"/>
                <w:szCs w:val="20"/>
                <w:color w:val="auto"/>
              </w:rPr>
            </w:pPr>
            <w:r>
              <w:rPr>
                <w:rFonts w:ascii="Times New Roman" w:cs="Times New Roman" w:eastAsia="Times New Roman" w:hAnsi="Times New Roman"/>
                <w:sz w:val="11"/>
                <w:szCs w:val="11"/>
                <w:b w:val="1"/>
                <w:bCs w:val="1"/>
                <w:color w:val="auto"/>
              </w:rPr>
              <w:t>2026</w:t>
            </w:r>
          </w:p>
        </w:tc>
        <w:tc>
          <w:tcPr>
            <w:tcW w:w="16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jc w:val="right"/>
              <w:ind w:right="210"/>
              <w:spacing w:after="0" w:line="109" w:lineRule="exact"/>
              <w:rPr>
                <w:sz w:val="20"/>
                <w:szCs w:val="20"/>
                <w:color w:val="auto"/>
              </w:rPr>
            </w:pPr>
            <w:r>
              <w:rPr>
                <w:rFonts w:ascii="Times New Roman" w:cs="Times New Roman" w:eastAsia="Times New Roman" w:hAnsi="Times New Roman"/>
                <w:sz w:val="11"/>
                <w:szCs w:val="11"/>
                <w:b w:val="1"/>
                <w:bCs w:val="1"/>
                <w:color w:val="auto"/>
                <w:w w:val="99"/>
              </w:rPr>
              <w:t>2025</w:t>
            </w:r>
          </w:p>
        </w:tc>
        <w:tc>
          <w:tcPr>
            <w:tcW w:w="1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jc w:val="right"/>
              <w:ind w:right="212"/>
              <w:spacing w:after="0" w:line="109" w:lineRule="exact"/>
              <w:rPr>
                <w:sz w:val="20"/>
                <w:szCs w:val="20"/>
                <w:color w:val="auto"/>
              </w:rPr>
            </w:pPr>
            <w:r>
              <w:rPr>
                <w:rFonts w:ascii="Times New Roman" w:cs="Times New Roman" w:eastAsia="Times New Roman" w:hAnsi="Times New Roman"/>
                <w:sz w:val="11"/>
                <w:szCs w:val="11"/>
                <w:b w:val="1"/>
                <w:bCs w:val="1"/>
                <w:color w:val="auto"/>
              </w:rPr>
              <w:t>2026</w:t>
            </w:r>
          </w:p>
        </w:tc>
        <w:tc>
          <w:tcPr>
            <w:tcW w:w="16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jc w:val="right"/>
              <w:ind w:right="230"/>
              <w:spacing w:after="0" w:line="109" w:lineRule="exact"/>
              <w:rPr>
                <w:sz w:val="20"/>
                <w:szCs w:val="20"/>
                <w:color w:val="auto"/>
              </w:rPr>
            </w:pPr>
            <w:r>
              <w:rPr>
                <w:rFonts w:ascii="Times New Roman" w:cs="Times New Roman" w:eastAsia="Times New Roman" w:hAnsi="Times New Roman"/>
                <w:sz w:val="11"/>
                <w:szCs w:val="11"/>
                <w:b w:val="1"/>
                <w:bCs w:val="1"/>
                <w:color w:val="auto"/>
                <w:w w:val="90"/>
              </w:rPr>
              <w:t>2025</w:t>
            </w:r>
          </w:p>
        </w:tc>
        <w:tc>
          <w:tcPr>
            <w:tcW w:w="80" w:type="dxa"/>
            <w:vAlign w:val="bottom"/>
          </w:tcPr>
          <w:p>
            <w:pPr>
              <w:spacing w:after="0"/>
              <w:rPr>
                <w:sz w:val="9"/>
                <w:szCs w:val="9"/>
                <w:color w:val="auto"/>
              </w:rPr>
            </w:pPr>
          </w:p>
        </w:tc>
      </w:tr>
      <w:tr>
        <w:trPr>
          <w:trHeight w:val="163"/>
        </w:trPr>
        <w:tc>
          <w:tcPr>
            <w:tcW w:w="20" w:type="dxa"/>
            <w:vAlign w:val="bottom"/>
          </w:tcPr>
          <w:p>
            <w:pPr>
              <w:spacing w:after="0"/>
              <w:rPr>
                <w:sz w:val="14"/>
                <w:szCs w:val="14"/>
                <w:color w:val="auto"/>
              </w:rPr>
            </w:pPr>
          </w:p>
        </w:tc>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income from continuing operations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100,802</w:t>
            </w:r>
          </w:p>
        </w:tc>
        <w:tc>
          <w:tcPr>
            <w:tcW w:w="44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37,488</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261,689</w:t>
            </w:r>
          </w:p>
        </w:tc>
        <w:tc>
          <w:tcPr>
            <w:tcW w:w="44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55,245</w:t>
            </w:r>
          </w:p>
        </w:tc>
        <w:tc>
          <w:tcPr>
            <w:tcW w:w="8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4"/>
                <w:szCs w:val="14"/>
                <w:color w:val="auto"/>
              </w:rPr>
              <w:t>Income tax expense</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28,640</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12,120</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44,099</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13,118</w:t>
            </w:r>
          </w:p>
        </w:tc>
        <w:tc>
          <w:tcPr>
            <w:tcW w:w="8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Interest expense, net</w:t>
            </w: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31,038</w:t>
            </w:r>
          </w:p>
        </w:tc>
        <w:tc>
          <w:tcPr>
            <w:tcW w:w="1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38,235</w:t>
            </w: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106,532</w:t>
            </w:r>
          </w:p>
        </w:tc>
        <w:tc>
          <w:tcPr>
            <w:tcW w:w="1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118,776</w:t>
            </w:r>
          </w:p>
        </w:tc>
        <w:tc>
          <w:tcPr>
            <w:tcW w:w="8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38,372</w:t>
            </w:r>
          </w:p>
        </w:tc>
        <w:tc>
          <w:tcPr>
            <w:tcW w:w="1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40,753</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118,889</w:t>
            </w:r>
          </w:p>
        </w:tc>
        <w:tc>
          <w:tcPr>
            <w:tcW w:w="1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123,424</w:t>
            </w:r>
          </w:p>
        </w:tc>
        <w:tc>
          <w:tcPr>
            <w:tcW w:w="80" w:type="dxa"/>
            <w:vAlign w:val="bottom"/>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EBITDA</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198,852</w:t>
            </w:r>
          </w:p>
        </w:tc>
        <w:tc>
          <w:tcPr>
            <w:tcW w:w="44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128,596</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531,209</w:t>
            </w:r>
          </w:p>
        </w:tc>
        <w:tc>
          <w:tcPr>
            <w:tcW w:w="44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310,563</w:t>
            </w:r>
          </w:p>
        </w:tc>
        <w:tc>
          <w:tcPr>
            <w:tcW w:w="8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4"/>
                <w:szCs w:val="14"/>
                <w:color w:val="auto"/>
              </w:rPr>
              <w:t>Non-cash share-based compensation (1)</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17,871</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14,173</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50,475</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46,155</w:t>
            </w:r>
          </w:p>
        </w:tc>
        <w:tc>
          <w:tcPr>
            <w:tcW w:w="8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Acquisition, integration, and transaction-related costs (2)</w:t>
            </w: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2,855</w:t>
            </w:r>
          </w:p>
        </w:tc>
        <w:tc>
          <w:tcPr>
            <w:tcW w:w="1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5,462</w:t>
            </w: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15,585</w:t>
            </w:r>
          </w:p>
        </w:tc>
        <w:tc>
          <w:tcPr>
            <w:tcW w:w="1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34,811</w:t>
            </w:r>
          </w:p>
        </w:tc>
        <w:tc>
          <w:tcPr>
            <w:tcW w:w="8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4"/>
                <w:szCs w:val="14"/>
                <w:color w:val="auto"/>
              </w:rPr>
              <w:t>Restructuring and divestiture-related and other costs (3)</w:t>
            </w: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8,181</w:t>
            </w:r>
          </w:p>
        </w:tc>
        <w:tc>
          <w:tcPr>
            <w:tcW w:w="1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12,212</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25,756</w:t>
            </w:r>
          </w:p>
        </w:tc>
        <w:tc>
          <w:tcPr>
            <w:tcW w:w="1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42,493</w:t>
            </w:r>
          </w:p>
        </w:tc>
        <w:tc>
          <w:tcPr>
            <w:tcW w:w="80" w:type="dxa"/>
            <w:vAlign w:val="bottom"/>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39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 adjustments</w:t>
            </w: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28,907</w:t>
            </w:r>
          </w:p>
        </w:tc>
        <w:tc>
          <w:tcPr>
            <w:tcW w:w="160" w:type="dxa"/>
            <w:vAlign w:val="bottom"/>
            <w:tcBorders>
              <w:bottom w:val="single" w:sz="8" w:color="CFF0FC"/>
            </w:tcBorders>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31,847</w:t>
            </w:r>
          </w:p>
        </w:tc>
        <w:tc>
          <w:tcPr>
            <w:tcW w:w="16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91,816</w:t>
            </w:r>
          </w:p>
        </w:tc>
        <w:tc>
          <w:tcPr>
            <w:tcW w:w="160" w:type="dxa"/>
            <w:vAlign w:val="bottom"/>
            <w:tcBorders>
              <w:bottom w:val="single" w:sz="8" w:color="CFF0FC"/>
            </w:tcBorders>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123,459</w:t>
            </w:r>
          </w:p>
        </w:tc>
        <w:tc>
          <w:tcPr>
            <w:tcW w:w="80" w:type="dxa"/>
            <w:vAlign w:val="bottom"/>
            <w:tcBorders>
              <w:bottom w:val="single" w:sz="8" w:color="CFF0FC"/>
            </w:tcBorders>
            <w:shd w:val="clear" w:color="auto" w:fill="CFF0FC"/>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4"/>
                <w:szCs w:val="14"/>
                <w:color w:val="auto"/>
              </w:rPr>
              <w:t>Adjusted EBITDA</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227,759</w:t>
            </w:r>
          </w:p>
        </w:tc>
        <w:tc>
          <w:tcPr>
            <w:tcW w:w="44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160,443</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623,025</w:t>
            </w:r>
          </w:p>
        </w:tc>
        <w:tc>
          <w:tcPr>
            <w:tcW w:w="44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434,022</w:t>
            </w:r>
          </w:p>
        </w:tc>
        <w:tc>
          <w:tcPr>
            <w:tcW w:w="8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3446780</wp:posOffset>
            </wp:positionH>
            <wp:positionV relativeFrom="paragraph">
              <wp:posOffset>-135890</wp:posOffset>
            </wp:positionV>
            <wp:extent cx="47625" cy="698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4053205</wp:posOffset>
            </wp:positionH>
            <wp:positionV relativeFrom="paragraph">
              <wp:posOffset>-135890</wp:posOffset>
            </wp:positionV>
            <wp:extent cx="47625" cy="698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4660265</wp:posOffset>
            </wp:positionH>
            <wp:positionV relativeFrom="paragraph">
              <wp:posOffset>-135890</wp:posOffset>
            </wp:positionV>
            <wp:extent cx="47625" cy="698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-135890</wp:posOffset>
            </wp:positionV>
            <wp:extent cx="47625" cy="698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159" w:lineRule="exact"/>
        <w:rPr>
          <w:sz w:val="20"/>
          <w:szCs w:val="20"/>
          <w:color w:val="auto"/>
        </w:rPr>
      </w:pPr>
    </w:p>
    <w:p>
      <w:pPr>
        <w:ind w:left="980" w:hanging="342"/>
        <w:spacing w:after="0"/>
        <w:tabs>
          <w:tab w:leader="none" w:pos="9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non-cash share-based compensation to certain members of our management and full-time employees.</w:t>
      </w:r>
    </w:p>
    <w:p>
      <w:pPr>
        <w:spacing w:after="0" w:line="96" w:lineRule="exact"/>
        <w:rPr>
          <w:rFonts w:ascii="Times New Roman" w:cs="Times New Roman" w:eastAsia="Times New Roman" w:hAnsi="Times New Roman"/>
          <w:sz w:val="14"/>
          <w:szCs w:val="14"/>
          <w:color w:val="auto"/>
        </w:rPr>
      </w:pPr>
    </w:p>
    <w:p>
      <w:pPr>
        <w:ind w:left="980" w:right="719" w:hanging="342"/>
        <w:spacing w:after="0" w:line="268" w:lineRule="auto"/>
        <w:tabs>
          <w:tab w:leader="none" w:pos="9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transaction costs incurred in connection with planned, completed, or terminated acquisitions, which include investment banking fees, legal diligence and related documentation costs, finance and accounting diligence and documentation; costs associated with the integration of acquisitions, including any facility consolidation, integration travel, or severance; and costs associated with other planned, completed, or terminated non-routine transactions.</w:t>
      </w:r>
    </w:p>
    <w:p>
      <w:pPr>
        <w:spacing w:after="0" w:line="54" w:lineRule="exact"/>
        <w:rPr>
          <w:rFonts w:ascii="Times New Roman" w:cs="Times New Roman" w:eastAsia="Times New Roman" w:hAnsi="Times New Roman"/>
          <w:sz w:val="14"/>
          <w:szCs w:val="14"/>
          <w:color w:val="auto"/>
        </w:rPr>
      </w:pPr>
    </w:p>
    <w:p>
      <w:pPr>
        <w:ind w:left="980" w:right="1239" w:hanging="342"/>
        <w:spacing w:after="0" w:line="292" w:lineRule="auto"/>
        <w:tabs>
          <w:tab w:leader="none" w:pos="9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costs associated with restructuring-related activities, including closure, and related license impairment, and severance expenses associated with certain enterprise-wide or significant business line cost-savings measures.</w:t>
      </w:r>
    </w:p>
    <w:p>
      <w:pPr>
        <w:spacing w:after="0" w:line="12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The following table reconciles diluted EPS to Adjusted EPS:</w:t>
      </w:r>
    </w:p>
    <w:p>
      <w:pPr>
        <w:spacing w:after="0" w:line="341" w:lineRule="exact"/>
        <w:rPr>
          <w:sz w:val="20"/>
          <w:szCs w:val="20"/>
          <w:color w:val="auto"/>
        </w:rPr>
      </w:pPr>
    </w:p>
    <w:tbl>
      <w:tblPr>
        <w:tblLayout w:type="fixed"/>
        <w:tblInd w:w="640" w:type="dxa"/>
        <w:tblCellMar>
          <w:top w:w="0" w:type="dxa"/>
          <w:left w:w="0" w:type="dxa"/>
          <w:bottom w:w="0" w:type="dxa"/>
          <w:right w:w="0" w:type="dxa"/>
        </w:tblCellMar>
      </w:tblPr>
      <w:tr>
        <w:trPr>
          <w:trHeight w:val="126"/>
        </w:trPr>
        <w:tc>
          <w:tcPr>
            <w:tcW w:w="3980" w:type="dxa"/>
            <w:vAlign w:val="bottom"/>
            <w:gridSpan w:val="2"/>
          </w:tcPr>
          <w:p>
            <w:pPr>
              <w:spacing w:after="0"/>
              <w:rPr>
                <w:sz w:val="20"/>
                <w:szCs w:val="20"/>
                <w:color w:val="auto"/>
              </w:rPr>
            </w:pPr>
            <w:r>
              <w:rPr>
                <w:rFonts w:ascii="Times New Roman" w:cs="Times New Roman" w:eastAsia="Times New Roman" w:hAnsi="Times New Roman"/>
                <w:sz w:val="11"/>
                <w:szCs w:val="11"/>
                <w:i w:val="1"/>
                <w:iCs w:val="1"/>
                <w:color w:val="auto"/>
              </w:rPr>
              <w:t>(shares in thousands)</w:t>
            </w:r>
          </w:p>
        </w:tc>
        <w:tc>
          <w:tcPr>
            <w:tcW w:w="100" w:type="dxa"/>
            <w:vAlign w:val="bottom"/>
          </w:tcPr>
          <w:p>
            <w:pPr>
              <w:spacing w:after="0"/>
              <w:rPr>
                <w:sz w:val="10"/>
                <w:szCs w:val="10"/>
                <w:color w:val="auto"/>
              </w:rPr>
            </w:pPr>
          </w:p>
        </w:tc>
        <w:tc>
          <w:tcPr>
            <w:tcW w:w="1800" w:type="dxa"/>
            <w:vAlign w:val="bottom"/>
            <w:gridSpan w:val="5"/>
          </w:tcPr>
          <w:p>
            <w:pPr>
              <w:jc w:val="right"/>
              <w:ind w:right="320"/>
              <w:spacing w:after="0"/>
              <w:rPr>
                <w:sz w:val="20"/>
                <w:szCs w:val="20"/>
                <w:color w:val="auto"/>
              </w:rPr>
            </w:pPr>
            <w:r>
              <w:rPr>
                <w:rFonts w:ascii="Times New Roman" w:cs="Times New Roman" w:eastAsia="Times New Roman" w:hAnsi="Times New Roman"/>
                <w:sz w:val="11"/>
                <w:szCs w:val="11"/>
                <w:b w:val="1"/>
                <w:bCs w:val="1"/>
                <w:color w:val="auto"/>
              </w:rPr>
              <w:t>For the Three Months Ended</w:t>
            </w:r>
          </w:p>
        </w:tc>
        <w:tc>
          <w:tcPr>
            <w:tcW w:w="120" w:type="dxa"/>
            <w:vAlign w:val="bottom"/>
          </w:tcPr>
          <w:p>
            <w:pPr>
              <w:spacing w:after="0"/>
              <w:rPr>
                <w:sz w:val="10"/>
                <w:szCs w:val="10"/>
                <w:color w:val="auto"/>
              </w:rPr>
            </w:pPr>
          </w:p>
        </w:tc>
        <w:tc>
          <w:tcPr>
            <w:tcW w:w="1740" w:type="dxa"/>
            <w:vAlign w:val="bottom"/>
            <w:gridSpan w:val="5"/>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For the Nine Months Ended</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9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5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5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9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jc w:val="right"/>
              <w:ind w:right="232"/>
              <w:spacing w:after="0" w:line="109" w:lineRule="exact"/>
              <w:rPr>
                <w:sz w:val="20"/>
                <w:szCs w:val="20"/>
                <w:color w:val="auto"/>
              </w:rPr>
            </w:pPr>
            <w:r>
              <w:rPr>
                <w:rFonts w:ascii="Times New Roman" w:cs="Times New Roman" w:eastAsia="Times New Roman" w:hAnsi="Times New Roman"/>
                <w:sz w:val="11"/>
                <w:szCs w:val="11"/>
                <w:b w:val="1"/>
                <w:bCs w:val="1"/>
                <w:color w:val="auto"/>
              </w:rPr>
              <w:t>2026</w:t>
            </w:r>
          </w:p>
        </w:tc>
        <w:tc>
          <w:tcPr>
            <w:tcW w:w="16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jc w:val="right"/>
              <w:ind w:right="210"/>
              <w:spacing w:after="0" w:line="109" w:lineRule="exact"/>
              <w:rPr>
                <w:sz w:val="20"/>
                <w:szCs w:val="20"/>
                <w:color w:val="auto"/>
              </w:rPr>
            </w:pPr>
            <w:r>
              <w:rPr>
                <w:rFonts w:ascii="Times New Roman" w:cs="Times New Roman" w:eastAsia="Times New Roman" w:hAnsi="Times New Roman"/>
                <w:sz w:val="11"/>
                <w:szCs w:val="11"/>
                <w:b w:val="1"/>
                <w:bCs w:val="1"/>
                <w:color w:val="auto"/>
                <w:w w:val="99"/>
              </w:rPr>
              <w:t>2025</w:t>
            </w:r>
          </w:p>
        </w:tc>
        <w:tc>
          <w:tcPr>
            <w:tcW w:w="1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jc w:val="right"/>
              <w:ind w:right="232"/>
              <w:spacing w:after="0" w:line="109" w:lineRule="exact"/>
              <w:rPr>
                <w:sz w:val="20"/>
                <w:szCs w:val="20"/>
                <w:color w:val="auto"/>
              </w:rPr>
            </w:pPr>
            <w:r>
              <w:rPr>
                <w:rFonts w:ascii="Times New Roman" w:cs="Times New Roman" w:eastAsia="Times New Roman" w:hAnsi="Times New Roman"/>
                <w:sz w:val="11"/>
                <w:szCs w:val="11"/>
                <w:b w:val="1"/>
                <w:bCs w:val="1"/>
                <w:color w:val="auto"/>
              </w:rPr>
              <w:t>2026</w:t>
            </w:r>
          </w:p>
        </w:tc>
        <w:tc>
          <w:tcPr>
            <w:tcW w:w="16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jc w:val="right"/>
              <w:ind w:right="230"/>
              <w:spacing w:after="0" w:line="109" w:lineRule="exact"/>
              <w:rPr>
                <w:sz w:val="20"/>
                <w:szCs w:val="20"/>
                <w:color w:val="auto"/>
              </w:rPr>
            </w:pPr>
            <w:r>
              <w:rPr>
                <w:rFonts w:ascii="Times New Roman" w:cs="Times New Roman" w:eastAsia="Times New Roman" w:hAnsi="Times New Roman"/>
                <w:sz w:val="11"/>
                <w:szCs w:val="11"/>
                <w:b w:val="1"/>
                <w:bCs w:val="1"/>
                <w:color w:val="auto"/>
                <w:w w:val="99"/>
              </w:rPr>
              <w:t>2025</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Diluted EPS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0.46</w:t>
            </w: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0.17</w:t>
            </w:r>
          </w:p>
        </w:tc>
        <w:tc>
          <w:tcPr>
            <w:tcW w:w="160" w:type="dxa"/>
            <w:vAlign w:val="bottom"/>
            <w:tcBorders>
              <w:right w:val="single" w:sz="8" w:color="CFF0FC"/>
            </w:tcBorders>
            <w:shd w:val="clear" w:color="auto" w:fill="CFF0FC"/>
          </w:tcPr>
          <w:p>
            <w:pPr>
              <w:spacing w:after="0"/>
              <w:rPr>
                <w:sz w:val="14"/>
                <w:szCs w:val="14"/>
                <w:color w:val="auto"/>
              </w:rPr>
            </w:pPr>
          </w:p>
        </w:tc>
        <w:tc>
          <w:tcPr>
            <w:tcW w:w="12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160" w:type="dxa"/>
            <w:vAlign w:val="bottom"/>
            <w:tcBorders>
              <w:right w:val="single" w:sz="8" w:color="CFF0FC"/>
            </w:tcBorders>
            <w:shd w:val="clear" w:color="auto" w:fill="CFF0FC"/>
          </w:tcPr>
          <w:p>
            <w:pPr>
              <w:spacing w:after="0"/>
              <w:rPr>
                <w:sz w:val="14"/>
                <w:szCs w:val="14"/>
                <w:color w:val="auto"/>
              </w:rPr>
            </w:pPr>
          </w:p>
        </w:tc>
        <w:tc>
          <w:tcPr>
            <w:tcW w:w="26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0.26</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4"/>
                <w:szCs w:val="14"/>
                <w:color w:val="auto"/>
              </w:rPr>
              <w:t>Non-cash share-based compensation (1)</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0.08</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0.07</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0.23</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Acquisition, integration, and transaction-related costs (1)</w:t>
            </w: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0.03</w:t>
            </w:r>
          </w:p>
        </w:tc>
        <w:tc>
          <w:tcPr>
            <w:tcW w:w="160" w:type="dxa"/>
            <w:vAlign w:val="bottom"/>
            <w:tcBorders>
              <w:right w:val="single" w:sz="8" w:color="CFF0FC"/>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0.07</w:t>
            </w:r>
          </w:p>
        </w:tc>
        <w:tc>
          <w:tcPr>
            <w:tcW w:w="160" w:type="dxa"/>
            <w:vAlign w:val="bottom"/>
            <w:tcBorders>
              <w:right w:val="single" w:sz="8" w:color="CFF0FC"/>
            </w:tcBorders>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0.16</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4"/>
                <w:szCs w:val="14"/>
                <w:color w:val="auto"/>
              </w:rPr>
              <w:t>Restructuring and divestiture-related and other costs (1)</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0.04</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0.06</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0.12</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Income tax impact on adjustments (2)</w:t>
            </w:r>
          </w:p>
        </w:tc>
        <w:tc>
          <w:tcPr>
            <w:tcW w:w="10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(0.05)</w:t>
            </w:r>
          </w:p>
        </w:tc>
        <w:tc>
          <w:tcPr>
            <w:tcW w:w="240" w:type="dxa"/>
            <w:vAlign w:val="bottom"/>
            <w:shd w:val="clear" w:color="auto" w:fill="CFF0FC"/>
          </w:tcPr>
          <w:p>
            <w:pPr>
              <w:spacing w:after="0"/>
              <w:rPr>
                <w:sz w:val="14"/>
                <w:szCs w:val="14"/>
                <w:color w:val="auto"/>
              </w:rPr>
            </w:pPr>
          </w:p>
        </w:tc>
        <w:tc>
          <w:tcPr>
            <w:tcW w:w="6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(0.03)</w:t>
            </w:r>
          </w:p>
        </w:tc>
        <w:tc>
          <w:tcPr>
            <w:tcW w:w="120" w:type="dxa"/>
            <w:vAlign w:val="bottom"/>
            <w:shd w:val="clear" w:color="auto" w:fill="CFF0FC"/>
          </w:tcPr>
          <w:p>
            <w:pPr>
              <w:spacing w:after="0"/>
              <w:rPr>
                <w:sz w:val="14"/>
                <w:szCs w:val="14"/>
                <w:color w:val="auto"/>
              </w:rPr>
            </w:pPr>
          </w:p>
        </w:tc>
        <w:tc>
          <w:tcPr>
            <w:tcW w:w="8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(0.23)</w:t>
            </w:r>
          </w:p>
        </w:tc>
        <w:tc>
          <w:tcPr>
            <w:tcW w:w="26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(0.13)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Borders>
              <w:right w:val="single" w:sz="8" w:color="CFF0FC"/>
            </w:tcBorders>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vMerge w:val="continue"/>
          </w:tcPr>
          <w:p>
            <w:pPr>
              <w:spacing w:after="0"/>
              <w:rPr>
                <w:sz w:val="14"/>
                <w:szCs w:val="14"/>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4"/>
                <w:szCs w:val="14"/>
                <w:color w:val="auto"/>
              </w:rPr>
              <w:t>Adjusted EPS</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0.54</w:t>
            </w:r>
          </w:p>
        </w:tc>
        <w:tc>
          <w:tcPr>
            <w:tcW w:w="160" w:type="dxa"/>
            <w:vAlign w:val="bottom"/>
          </w:tcPr>
          <w:p>
            <w:pPr>
              <w:spacing w:after="0"/>
              <w:rPr>
                <w:sz w:val="14"/>
                <w:szCs w:val="14"/>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0.30</w:t>
            </w:r>
          </w:p>
        </w:tc>
        <w:tc>
          <w:tcPr>
            <w:tcW w:w="160" w:type="dxa"/>
            <w:vAlign w:val="bottom"/>
          </w:tcPr>
          <w:p>
            <w:pPr>
              <w:spacing w:after="0"/>
              <w:rPr>
                <w:sz w:val="14"/>
                <w:szCs w:val="14"/>
                <w:color w:val="auto"/>
              </w:rPr>
            </w:pP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160" w:type="dxa"/>
            <w:vAlign w:val="bottom"/>
          </w:tcPr>
          <w:p>
            <w:pPr>
              <w:spacing w:after="0"/>
              <w:rPr>
                <w:sz w:val="14"/>
                <w:szCs w:val="14"/>
                <w:color w:val="auto"/>
              </w:rPr>
            </w:pP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vMerge w:val="restart"/>
          </w:tcPr>
          <w:p>
            <w:pPr>
              <w:spacing w:after="0"/>
              <w:rPr>
                <w:sz w:val="12"/>
                <w:szCs w:val="12"/>
                <w:color w:val="auto"/>
              </w:rPr>
            </w:pPr>
          </w:p>
        </w:tc>
        <w:tc>
          <w:tcPr>
            <w:tcW w:w="39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60" w:type="dxa"/>
            <w:vAlign w:val="bottom"/>
            <w:tcBorders>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60" w:type="dxa"/>
            <w:vAlign w:val="bottom"/>
            <w:tcBorders>
              <w:right w:val="single" w:sz="8" w:color="CFF0FC"/>
            </w:tcBorders>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3960" w:type="dxa"/>
            <w:vAlign w:val="bottom"/>
          </w:tcPr>
          <w:p>
            <w:pPr>
              <w:spacing w:after="0" w:line="157" w:lineRule="exact"/>
              <w:rPr>
                <w:sz w:val="20"/>
                <w:szCs w:val="20"/>
                <w:color w:val="auto"/>
              </w:rPr>
            </w:pPr>
            <w:r>
              <w:rPr>
                <w:rFonts w:ascii="Times New Roman" w:cs="Times New Roman" w:eastAsia="Times New Roman" w:hAnsi="Times New Roman"/>
                <w:sz w:val="14"/>
                <w:szCs w:val="14"/>
                <w:color w:val="auto"/>
              </w:rPr>
              <w:t>Weighted average common shares outstanding used in calculating</w:t>
            </w:r>
          </w:p>
        </w:tc>
        <w:tc>
          <w:tcPr>
            <w:tcW w:w="100" w:type="dxa"/>
            <w:vAlign w:val="bottom"/>
          </w:tcPr>
          <w:p>
            <w:pPr>
              <w:spacing w:after="0"/>
              <w:rPr>
                <w:sz w:val="13"/>
                <w:szCs w:val="13"/>
                <w:color w:val="auto"/>
              </w:rPr>
            </w:pPr>
          </w:p>
        </w:tc>
        <w:tc>
          <w:tcPr>
            <w:tcW w:w="72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rPr>
              <w:t>220,226</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rPr>
              <w:t>217,982</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rPr>
              <w:t>220,972</w:t>
            </w: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rPr>
              <w:t>218,519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9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diluted U.S. GAAP net income per share</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960" w:type="dxa"/>
            <w:vAlign w:val="bottom"/>
            <w:shd w:val="clear" w:color="auto" w:fill="CFF0FC"/>
          </w:tcPr>
          <w:p>
            <w:pPr>
              <w:spacing w:after="0" w:line="158" w:lineRule="exact"/>
              <w:rPr>
                <w:sz w:val="20"/>
                <w:szCs w:val="20"/>
                <w:color w:val="auto"/>
              </w:rPr>
            </w:pPr>
            <w:r>
              <w:rPr>
                <w:rFonts w:ascii="Times New Roman" w:cs="Times New Roman" w:eastAsia="Times New Roman" w:hAnsi="Times New Roman"/>
                <w:sz w:val="14"/>
                <w:szCs w:val="14"/>
                <w:color w:val="auto"/>
              </w:rPr>
              <w:t>Weighted average common shares outstanding used in calculating</w:t>
            </w:r>
          </w:p>
        </w:tc>
        <w:tc>
          <w:tcPr>
            <w:tcW w:w="10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line="158" w:lineRule="exact"/>
              <w:rPr>
                <w:sz w:val="20"/>
                <w:szCs w:val="20"/>
                <w:color w:val="auto"/>
              </w:rPr>
            </w:pPr>
            <w:r>
              <w:rPr>
                <w:rFonts w:ascii="Times New Roman" w:cs="Times New Roman" w:eastAsia="Times New Roman" w:hAnsi="Times New Roman"/>
                <w:sz w:val="14"/>
                <w:szCs w:val="14"/>
                <w:color w:val="auto"/>
              </w:rPr>
              <w:t>220,226</w:t>
            </w:r>
          </w:p>
        </w:tc>
        <w:tc>
          <w:tcPr>
            <w:tcW w:w="1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line="158" w:lineRule="exact"/>
              <w:rPr>
                <w:sz w:val="20"/>
                <w:szCs w:val="20"/>
                <w:color w:val="auto"/>
              </w:rPr>
            </w:pPr>
            <w:r>
              <w:rPr>
                <w:rFonts w:ascii="Times New Roman" w:cs="Times New Roman" w:eastAsia="Times New Roman" w:hAnsi="Times New Roman"/>
                <w:sz w:val="14"/>
                <w:szCs w:val="14"/>
                <w:color w:val="auto"/>
              </w:rPr>
              <w:t>217,982</w:t>
            </w:r>
          </w:p>
        </w:tc>
        <w:tc>
          <w:tcPr>
            <w:tcW w:w="160" w:type="dxa"/>
            <w:vAlign w:val="bottom"/>
            <w:tcBorders>
              <w:right w:val="single" w:sz="8" w:color="CFF0FC"/>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line="158" w:lineRule="exact"/>
              <w:rPr>
                <w:sz w:val="20"/>
                <w:szCs w:val="20"/>
                <w:color w:val="auto"/>
              </w:rPr>
            </w:pPr>
            <w:r>
              <w:rPr>
                <w:rFonts w:ascii="Times New Roman" w:cs="Times New Roman" w:eastAsia="Times New Roman" w:hAnsi="Times New Roman"/>
                <w:sz w:val="14"/>
                <w:szCs w:val="14"/>
                <w:color w:val="auto"/>
              </w:rPr>
              <w:t>220,972</w:t>
            </w:r>
          </w:p>
        </w:tc>
        <w:tc>
          <w:tcPr>
            <w:tcW w:w="160" w:type="dxa"/>
            <w:vAlign w:val="bottom"/>
            <w:tcBorders>
              <w:right w:val="single" w:sz="8" w:color="CFF0FC"/>
            </w:tcBorders>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line="158" w:lineRule="exact"/>
              <w:rPr>
                <w:sz w:val="20"/>
                <w:szCs w:val="20"/>
                <w:color w:val="auto"/>
              </w:rPr>
            </w:pPr>
            <w:r>
              <w:rPr>
                <w:rFonts w:ascii="Times New Roman" w:cs="Times New Roman" w:eastAsia="Times New Roman" w:hAnsi="Times New Roman"/>
                <w:sz w:val="14"/>
                <w:szCs w:val="14"/>
                <w:color w:val="auto"/>
              </w:rPr>
              <w:t>218,519</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9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diluted Non-GAAP income per share</w:t>
            </w:r>
          </w:p>
        </w:tc>
        <w:tc>
          <w:tcPr>
            <w:tcW w:w="10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160" w:type="dxa"/>
            <w:vAlign w:val="bottom"/>
            <w:tcBorders>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60" w:type="dxa"/>
            <w:vAlign w:val="bottom"/>
            <w:tcBorders>
              <w:right w:val="single" w:sz="8" w:color="CFF0FC"/>
            </w:tcBorders>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3453130</wp:posOffset>
            </wp:positionH>
            <wp:positionV relativeFrom="paragraph">
              <wp:posOffset>-681355</wp:posOffset>
            </wp:positionV>
            <wp:extent cx="47625" cy="698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4039870</wp:posOffset>
            </wp:positionH>
            <wp:positionV relativeFrom="paragraph">
              <wp:posOffset>-681355</wp:posOffset>
            </wp:positionV>
            <wp:extent cx="47625" cy="698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4660265</wp:posOffset>
            </wp:positionH>
            <wp:positionV relativeFrom="paragraph">
              <wp:posOffset>-681355</wp:posOffset>
            </wp:positionV>
            <wp:extent cx="47625" cy="698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-681355</wp:posOffset>
            </wp:positionV>
            <wp:extent cx="47625" cy="698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51" w:lineRule="exact"/>
        <w:rPr>
          <w:sz w:val="20"/>
          <w:szCs w:val="20"/>
          <w:color w:val="auto"/>
        </w:rPr>
      </w:pPr>
    </w:p>
    <w:p>
      <w:pPr>
        <w:ind w:left="980" w:hanging="342"/>
        <w:spacing w:after="0"/>
        <w:tabs>
          <w:tab w:leader="none" w:pos="9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adjustment reflects the per share impact of the adjustment reflected within the definition of Adjusted EBITDA.</w:t>
      </w:r>
    </w:p>
    <w:p>
      <w:pPr>
        <w:spacing w:after="0" w:line="96" w:lineRule="exact"/>
        <w:rPr>
          <w:rFonts w:ascii="Times New Roman" w:cs="Times New Roman" w:eastAsia="Times New Roman" w:hAnsi="Times New Roman"/>
          <w:sz w:val="14"/>
          <w:szCs w:val="14"/>
          <w:color w:val="auto"/>
        </w:rPr>
      </w:pPr>
    </w:p>
    <w:p>
      <w:pPr>
        <w:ind w:left="980" w:right="659" w:hanging="342"/>
        <w:spacing w:after="0" w:line="274" w:lineRule="auto"/>
        <w:tabs>
          <w:tab w:leader="none" w:pos="9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income tax impact of non-GAAP adjustments is calculated using the estimated tax rate for the respective non-GAAP adjustment. For all periods presented, the income tax impact on adjustments is inclusive of a discrete tax benefit related to share-based compensation.</w:t>
      </w:r>
    </w:p>
    <w:p>
      <w:pPr>
        <w:spacing w:after="0" w:line="13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99" w:lineRule="exact"/>
        <w:rPr>
          <w:sz w:val="20"/>
          <w:szCs w:val="20"/>
          <w:color w:val="auto"/>
        </w:rPr>
      </w:pPr>
    </w:p>
    <w:p>
      <w:pPr>
        <w:ind w:left="640" w:right="699" w:firstLine="351"/>
        <w:spacing w:after="0" w:line="292" w:lineRule="auto"/>
        <w:rPr>
          <w:sz w:val="20"/>
          <w:szCs w:val="20"/>
          <w:color w:val="auto"/>
        </w:rPr>
      </w:pPr>
      <w:r>
        <w:rPr>
          <w:rFonts w:ascii="Times New Roman" w:cs="Times New Roman" w:eastAsia="Times New Roman" w:hAnsi="Times New Roman"/>
          <w:sz w:val="14"/>
          <w:szCs w:val="14"/>
          <w:color w:val="auto"/>
        </w:rPr>
        <w:t>Our principal sources of cash have historically been from operating activities. Our principal source of liquidity in excess of cash from operating activities has historically been from proceeds from our debt facilities and issuances of common stock. Our principal</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42" w:name="page43"/>
    <w:bookmarkEnd w:id="42"/>
    <w:p>
      <w:pPr>
        <w:ind w:left="640" w:right="699"/>
        <w:spacing w:after="0" w:line="260" w:lineRule="auto"/>
        <w:rPr>
          <w:sz w:val="20"/>
          <w:szCs w:val="20"/>
          <w:color w:val="auto"/>
        </w:rPr>
      </w:pPr>
      <w:r>
        <w:rPr>
          <w:rFonts w:ascii="Times New Roman" w:cs="Times New Roman" w:eastAsia="Times New Roman" w:hAnsi="Times New Roman"/>
          <w:sz w:val="14"/>
          <w:szCs w:val="14"/>
          <w:color w:val="auto"/>
        </w:rPr>
        <w:t>uses of cash and liquidity have historically been for acquisitions, debt service requirements, and financing of working capital. We believe that our operating cash flows, available cash on hand, and availability under our Revolving Credit Facility and the LC Facility will be sufficient to meet our cash requirements for the next twelve months and beyond. Our cash flows are primarily provided by the continuing operations of the Company. Our future capital requirements will depend on many factors that are difficult to predict, including the size, timing, and structure of any future acquisitions, future capital investments, and future results of operations. We cannot assure you that cash provided by operating activities or cash and cash equivalents will be sufficient to meet our future needs. If we are unable to generate sufficient cash flows from operations in the future, we may have to obtain additional financing. If we obtain additional capital by issuing equity, the interests of our existing stockholders will be diluted. If we incur additional indebtedness, that indebtedness may contain significant financial and other covenants that may significantly restrict our operations. We cannot assure you that we could obtain refinancing or additional financing on favorable terms or at all.</w:t>
      </w:r>
    </w:p>
    <w:p>
      <w:pPr>
        <w:spacing w:after="0" w:line="60" w:lineRule="exact"/>
        <w:rPr>
          <w:sz w:val="20"/>
          <w:szCs w:val="20"/>
          <w:color w:val="auto"/>
        </w:rPr>
      </w:pPr>
    </w:p>
    <w:p>
      <w:pPr>
        <w:ind w:left="640" w:right="679" w:firstLine="351"/>
        <w:spacing w:after="0" w:line="263" w:lineRule="auto"/>
        <w:rPr>
          <w:sz w:val="20"/>
          <w:szCs w:val="20"/>
          <w:color w:val="auto"/>
        </w:rPr>
      </w:pPr>
      <w:r>
        <w:rPr>
          <w:rFonts w:ascii="Times New Roman" w:cs="Times New Roman" w:eastAsia="Times New Roman" w:hAnsi="Times New Roman"/>
          <w:sz w:val="14"/>
          <w:szCs w:val="14"/>
          <w:color w:val="auto"/>
        </w:rPr>
        <w:t>We evaluate our liquidity based upon the availability we have under our First Lien Facilities in addition to the net cash provided by (used in) operating, investing, and financing activities. Specifically, we review the activity under the Revolving Credit Facility and the LC Facility and consider period end balances outstanding under the Revolving Credit Facility and the LC Facility. Based upon the outstanding borrowings and letters of credit under the Revolving Credit Facility and the LC Facility, we calculate the availability for incremental borrowings under the Revolving Credit Facility and the LC Facility. Such amount, in addition to cash on our balance sheet, is what we consider to be our “Total Liquidity.”</w:t>
      </w:r>
    </w:p>
    <w:p>
      <w:pPr>
        <w:spacing w:after="0" w:line="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The following table provides a calculation of our Total Liquidity:</w:t>
      </w:r>
    </w:p>
    <w:p>
      <w:pPr>
        <w:spacing w:after="0" w:line="170" w:lineRule="exact"/>
        <w:rPr>
          <w:sz w:val="20"/>
          <w:szCs w:val="20"/>
          <w:color w:val="auto"/>
        </w:rPr>
      </w:pPr>
    </w:p>
    <w:tbl>
      <w:tblPr>
        <w:tblLayout w:type="fixed"/>
        <w:tblInd w:w="640" w:type="dxa"/>
        <w:tblCellMar>
          <w:top w:w="0" w:type="dxa"/>
          <w:left w:w="0" w:type="dxa"/>
          <w:bottom w:w="0" w:type="dxa"/>
          <w:right w:w="0" w:type="dxa"/>
        </w:tblCellMar>
      </w:tblPr>
      <w:tr>
        <w:trPr>
          <w:trHeight w:val="126"/>
        </w:trPr>
        <w:tc>
          <w:tcPr>
            <w:tcW w:w="4880" w:type="dxa"/>
            <w:vAlign w:val="bottom"/>
            <w:gridSpan w:val="2"/>
          </w:tcPr>
          <w:p>
            <w:pPr>
              <w:spacing w:after="0"/>
              <w:rPr>
                <w:sz w:val="20"/>
                <w:szCs w:val="20"/>
                <w:color w:val="auto"/>
              </w:rPr>
            </w:pPr>
            <w:r>
              <w:rPr>
                <w:rFonts w:ascii="Times New Roman" w:cs="Times New Roman" w:eastAsia="Times New Roman" w:hAnsi="Times New Roman"/>
                <w:sz w:val="11"/>
                <w:szCs w:val="11"/>
                <w:i w:val="1"/>
                <w:iCs w:val="1"/>
                <w:color w:val="auto"/>
              </w:rPr>
              <w:t>($ in thousands)</w:t>
            </w:r>
          </w:p>
        </w:tc>
        <w:tc>
          <w:tcPr>
            <w:tcW w:w="152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For the Nine Months Ended</w:t>
            </w:r>
          </w:p>
        </w:tc>
        <w:tc>
          <w:tcPr>
            <w:tcW w:w="200" w:type="dxa"/>
            <w:vAlign w:val="bottom"/>
          </w:tcPr>
          <w:p>
            <w:pPr>
              <w:spacing w:after="0"/>
              <w:rPr>
                <w:sz w:val="11"/>
                <w:szCs w:val="11"/>
                <w:color w:val="auto"/>
              </w:rPr>
            </w:pPr>
          </w:p>
        </w:tc>
        <w:tc>
          <w:tcPr>
            <w:tcW w:w="1140" w:type="dxa"/>
            <w:vAlign w:val="bottom"/>
            <w:gridSpan w:val="3"/>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For the Year Ended</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4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80" w:type="dxa"/>
            <w:vAlign w:val="bottom"/>
          </w:tcPr>
          <w:p>
            <w:pPr>
              <w:jc w:val="center"/>
              <w:ind w:right="151"/>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4860" w:type="dxa"/>
            <w:vAlign w:val="bottom"/>
          </w:tcPr>
          <w:p>
            <w:pPr>
              <w:spacing w:after="0"/>
              <w:rPr>
                <w:sz w:val="9"/>
                <w:szCs w:val="9"/>
                <w:color w:val="auto"/>
              </w:rPr>
            </w:pPr>
          </w:p>
        </w:tc>
        <w:tc>
          <w:tcPr>
            <w:tcW w:w="240" w:type="dxa"/>
            <w:vAlign w:val="bottom"/>
            <w:tcBorders>
              <w:top w:val="single" w:sz="8" w:color="auto"/>
              <w:bottom w:val="single" w:sz="8" w:color="auto"/>
            </w:tcBorders>
          </w:tcPr>
          <w:p>
            <w:pPr>
              <w:spacing w:after="0"/>
              <w:rPr>
                <w:sz w:val="9"/>
                <w:szCs w:val="9"/>
                <w:color w:val="auto"/>
              </w:rPr>
            </w:pPr>
          </w:p>
        </w:tc>
        <w:tc>
          <w:tcPr>
            <w:tcW w:w="1280" w:type="dxa"/>
            <w:vAlign w:val="bottom"/>
            <w:tcBorders>
              <w:top w:val="single" w:sz="8" w:color="auto"/>
              <w:bottom w:val="single" w:sz="8" w:color="auto"/>
            </w:tcBorders>
          </w:tcPr>
          <w:p>
            <w:pPr>
              <w:jc w:val="center"/>
              <w:ind w:right="171"/>
              <w:spacing w:after="0" w:line="109" w:lineRule="exact"/>
              <w:rPr>
                <w:sz w:val="20"/>
                <w:szCs w:val="20"/>
                <w:color w:val="auto"/>
              </w:rPr>
            </w:pPr>
            <w:r>
              <w:rPr>
                <w:rFonts w:ascii="Times New Roman" w:cs="Times New Roman" w:eastAsia="Times New Roman" w:hAnsi="Times New Roman"/>
                <w:sz w:val="11"/>
                <w:szCs w:val="11"/>
                <w:b w:val="1"/>
                <w:bCs w:val="1"/>
                <w:color w:val="auto"/>
              </w:rPr>
              <w:t>2026</w:t>
            </w:r>
          </w:p>
        </w:tc>
        <w:tc>
          <w:tcPr>
            <w:tcW w:w="200" w:type="dxa"/>
            <w:vAlign w:val="bottom"/>
          </w:tcPr>
          <w:p>
            <w:pPr>
              <w:spacing w:after="0"/>
              <w:rPr>
                <w:sz w:val="9"/>
                <w:szCs w:val="9"/>
                <w:color w:val="auto"/>
              </w:rPr>
            </w:pPr>
          </w:p>
        </w:tc>
        <w:tc>
          <w:tcPr>
            <w:tcW w:w="120" w:type="dxa"/>
            <w:vAlign w:val="bottom"/>
            <w:tcBorders>
              <w:top w:val="single" w:sz="8" w:color="auto"/>
              <w:bottom w:val="single" w:sz="8" w:color="auto"/>
            </w:tcBorders>
          </w:tcPr>
          <w:p>
            <w:pPr>
              <w:spacing w:after="0"/>
              <w:rPr>
                <w:sz w:val="9"/>
                <w:szCs w:val="9"/>
                <w:color w:val="auto"/>
              </w:rPr>
            </w:pPr>
          </w:p>
        </w:tc>
        <w:tc>
          <w:tcPr>
            <w:tcW w:w="940" w:type="dxa"/>
            <w:vAlign w:val="bottom"/>
            <w:tcBorders>
              <w:top w:val="single" w:sz="8" w:color="auto"/>
              <w:bottom w:val="single" w:sz="8" w:color="auto"/>
            </w:tcBorders>
          </w:tcPr>
          <w:p>
            <w:pPr>
              <w:jc w:val="center"/>
              <w:ind w:right="71"/>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i w:val="1"/>
                <w:iCs w:val="1"/>
                <w:color w:val="auto"/>
              </w:rPr>
              <w:t>Revolving Credit Facility Rollforward</w:t>
            </w:r>
          </w:p>
        </w:tc>
        <w:tc>
          <w:tcPr>
            <w:tcW w:w="24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4"/>
                <w:szCs w:val="14"/>
                <w:color w:val="auto"/>
              </w:rPr>
              <w:t>Beginning Revolving Credit Facility balance</w:t>
            </w:r>
          </w:p>
        </w:tc>
        <w:tc>
          <w:tcPr>
            <w:tcW w:w="2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tcPr>
          <w:p>
            <w:pPr>
              <w:jc w:val="right"/>
              <w:ind w:right="3"/>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63,300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Repayments of the Revolving Credit Facility, net</w:t>
            </w:r>
          </w:p>
        </w:tc>
        <w:tc>
          <w:tcPr>
            <w:tcW w:w="24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(63,300)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vMerge w:val="continue"/>
          </w:tcPr>
          <w:p>
            <w:pPr>
              <w:spacing w:after="0"/>
              <w:rPr>
                <w:sz w:val="14"/>
                <w:szCs w:val="14"/>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4"/>
                <w:szCs w:val="14"/>
                <w:color w:val="auto"/>
              </w:rPr>
              <w:t>Ending Revolving Credit Facility balance</w:t>
            </w:r>
          </w:p>
        </w:tc>
        <w:tc>
          <w:tcPr>
            <w:tcW w:w="2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tcPr>
          <w:p>
            <w:pPr>
              <w:jc w:val="right"/>
              <w:ind w:right="3"/>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i w:val="1"/>
                <w:iCs w:val="1"/>
                <w:color w:val="auto"/>
              </w:rPr>
              <w:t>Calculation of Revolving Credit Facility and LC Facility availability</w:t>
            </w:r>
          </w:p>
        </w:tc>
        <w:tc>
          <w:tcPr>
            <w:tcW w:w="240" w:type="dxa"/>
            <w:vAlign w:val="bottom"/>
            <w:tcBorders>
              <w:top w:val="single" w:sz="8" w:color="auto"/>
            </w:tcBorders>
            <w:shd w:val="clear" w:color="auto" w:fill="CFF0FC"/>
          </w:tcPr>
          <w:p>
            <w:pPr>
              <w:spacing w:after="0"/>
              <w:rPr>
                <w:sz w:val="14"/>
                <w:szCs w:val="14"/>
                <w:color w:val="auto"/>
              </w:rPr>
            </w:pPr>
          </w:p>
        </w:tc>
        <w:tc>
          <w:tcPr>
            <w:tcW w:w="1280" w:type="dxa"/>
            <w:vAlign w:val="bottom"/>
            <w:tcBorders>
              <w:top w:val="single" w:sz="8" w:color="auto"/>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940" w:type="dxa"/>
            <w:vAlign w:val="bottom"/>
            <w:tcBorders>
              <w:top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4"/>
                <w:szCs w:val="14"/>
                <w:color w:val="auto"/>
              </w:rPr>
              <w:t>Revolving Credit Facility and LC Facility limit</w:t>
            </w:r>
          </w:p>
        </w:tc>
        <w:tc>
          <w:tcPr>
            <w:tcW w:w="2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540,000</w:t>
            </w:r>
          </w:p>
        </w:tc>
        <w:tc>
          <w:tcPr>
            <w:tcW w:w="320" w:type="dxa"/>
            <w:vAlign w:val="bottom"/>
            <w:gridSpan w:val="2"/>
          </w:tcPr>
          <w:p>
            <w:pPr>
              <w:jc w:val="right"/>
              <w:ind w:right="3"/>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540,000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Less: outstanding Revolving Credit Facility balance</w:t>
            </w:r>
          </w:p>
        </w:tc>
        <w:tc>
          <w:tcPr>
            <w:tcW w:w="24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4"/>
                <w:szCs w:val="14"/>
                <w:color w:val="auto"/>
              </w:rPr>
              <w:t>Less: outstanding letters of credit subject to LC Sublimit</w:t>
            </w:r>
          </w:p>
        </w:tc>
        <w:tc>
          <w:tcPr>
            <w:tcW w:w="2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Less: outstanding letters of credit under the LC Facility</w:t>
            </w:r>
          </w:p>
        </w:tc>
        <w:tc>
          <w:tcPr>
            <w:tcW w:w="240" w:type="dxa"/>
            <w:vAlign w:val="bottom"/>
            <w:tcBorders>
              <w:bottom w:val="single" w:sz="8" w:color="auto"/>
            </w:tcBorders>
            <w:shd w:val="clear" w:color="auto" w:fill="CFF0FC"/>
          </w:tcPr>
          <w:p>
            <w:pPr>
              <w:spacing w:after="0"/>
              <w:rPr>
                <w:sz w:val="14"/>
                <w:szCs w:val="14"/>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63,859</w:t>
            </w:r>
          </w:p>
        </w:tc>
        <w:tc>
          <w:tcPr>
            <w:tcW w:w="2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62,790</w:t>
            </w:r>
          </w:p>
        </w:tc>
        <w:tc>
          <w:tcPr>
            <w:tcW w:w="8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4"/>
                <w:szCs w:val="14"/>
                <w:color w:val="auto"/>
              </w:rPr>
              <w:t>End of period Revolving Credit Facility and LC Facility availability</w:t>
            </w:r>
          </w:p>
        </w:tc>
        <w:tc>
          <w:tcPr>
            <w:tcW w:w="2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476,141</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477,210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End of period cash balance</w:t>
            </w:r>
          </w:p>
        </w:tc>
        <w:tc>
          <w:tcPr>
            <w:tcW w:w="240" w:type="dxa"/>
            <w:vAlign w:val="bottom"/>
            <w:tcBorders>
              <w:bottom w:val="single" w:sz="8" w:color="auto"/>
            </w:tcBorders>
            <w:shd w:val="clear" w:color="auto" w:fill="CFF0FC"/>
          </w:tcPr>
          <w:p>
            <w:pPr>
              <w:spacing w:after="0"/>
              <w:rPr>
                <w:sz w:val="14"/>
                <w:szCs w:val="14"/>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717,840</w:t>
            </w:r>
          </w:p>
        </w:tc>
        <w:tc>
          <w:tcPr>
            <w:tcW w:w="2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88,370</w:t>
            </w:r>
          </w:p>
        </w:tc>
        <w:tc>
          <w:tcPr>
            <w:tcW w:w="8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4"/>
                <w:szCs w:val="14"/>
                <w:color w:val="auto"/>
              </w:rPr>
              <w:t>Total Liquidity, end of period</w:t>
            </w:r>
          </w:p>
        </w:tc>
        <w:tc>
          <w:tcPr>
            <w:tcW w:w="2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1,193,981</w:t>
            </w:r>
          </w:p>
        </w:tc>
        <w:tc>
          <w:tcPr>
            <w:tcW w:w="320" w:type="dxa"/>
            <w:vAlign w:val="bottom"/>
            <w:gridSpan w:val="2"/>
          </w:tcPr>
          <w:p>
            <w:pPr>
              <w:jc w:val="right"/>
              <w:ind w:right="3"/>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565,580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4476115</wp:posOffset>
            </wp:positionH>
            <wp:positionV relativeFrom="paragraph">
              <wp:posOffset>-1029335</wp:posOffset>
            </wp:positionV>
            <wp:extent cx="47625" cy="698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-1029335</wp:posOffset>
            </wp:positionV>
            <wp:extent cx="47625" cy="698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4476115</wp:posOffset>
            </wp:positionH>
            <wp:positionV relativeFrom="paragraph">
              <wp:posOffset>-360680</wp:posOffset>
            </wp:positionV>
            <wp:extent cx="47625" cy="698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-360680</wp:posOffset>
            </wp:positionV>
            <wp:extent cx="47625" cy="698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4476115</wp:posOffset>
            </wp:positionH>
            <wp:positionV relativeFrom="paragraph">
              <wp:posOffset>-135890</wp:posOffset>
            </wp:positionV>
            <wp:extent cx="47625" cy="698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-135890</wp:posOffset>
            </wp:positionV>
            <wp:extent cx="47625" cy="698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13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Cash Flow Activity</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The activity discussed in this section relates to our consolidated company results and includes the impacts of discontinued operations.</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Nine Months Ended September 30, 2026 and 2025</w:t>
      </w:r>
    </w:p>
    <w:p>
      <w:pPr>
        <w:spacing w:after="0" w:line="99" w:lineRule="exact"/>
        <w:rPr>
          <w:sz w:val="20"/>
          <w:szCs w:val="20"/>
          <w:color w:val="auto"/>
        </w:rPr>
      </w:pPr>
    </w:p>
    <w:p>
      <w:pPr>
        <w:ind w:left="640" w:right="799" w:firstLine="351"/>
        <w:spacing w:after="0" w:line="292" w:lineRule="auto"/>
        <w:rPr>
          <w:sz w:val="20"/>
          <w:szCs w:val="20"/>
          <w:color w:val="auto"/>
        </w:rPr>
      </w:pPr>
      <w:r>
        <w:rPr>
          <w:rFonts w:ascii="Times New Roman" w:cs="Times New Roman" w:eastAsia="Times New Roman" w:hAnsi="Times New Roman"/>
          <w:sz w:val="14"/>
          <w:szCs w:val="14"/>
          <w:color w:val="auto"/>
        </w:rPr>
        <w:t>The following table sets forth a summary of our cash flows provided by (used in) operating, investing, and financing activities for the periods presented:</w:t>
      </w:r>
    </w:p>
    <w:p>
      <w:pPr>
        <w:spacing w:after="0" w:line="119" w:lineRule="exact"/>
        <w:rPr>
          <w:sz w:val="20"/>
          <w:szCs w:val="20"/>
          <w:color w:val="auto"/>
        </w:rPr>
      </w:pPr>
    </w:p>
    <w:tbl>
      <w:tblPr>
        <w:tblLayout w:type="fixed"/>
        <w:tblInd w:w="640" w:type="dxa"/>
        <w:tblCellMar>
          <w:top w:w="0" w:type="dxa"/>
          <w:left w:w="0" w:type="dxa"/>
          <w:bottom w:w="0" w:type="dxa"/>
          <w:right w:w="0" w:type="dxa"/>
        </w:tblCellMar>
      </w:tblPr>
      <w:tr>
        <w:trPr>
          <w:trHeight w:val="137"/>
        </w:trPr>
        <w:tc>
          <w:tcPr>
            <w:tcW w:w="372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 in thousands)</w:t>
            </w: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80" w:type="dxa"/>
            <w:vAlign w:val="bottom"/>
            <w:gridSpan w:val="8"/>
          </w:tcPr>
          <w:p>
            <w:pPr>
              <w:jc w:val="right"/>
              <w:ind w:right="600"/>
              <w:spacing w:after="0"/>
              <w:rPr>
                <w:sz w:val="20"/>
                <w:szCs w:val="20"/>
                <w:color w:val="auto"/>
              </w:rPr>
            </w:pPr>
            <w:r>
              <w:rPr>
                <w:rFonts w:ascii="Times New Roman" w:cs="Times New Roman" w:eastAsia="Times New Roman" w:hAnsi="Times New Roman"/>
                <w:sz w:val="11"/>
                <w:szCs w:val="11"/>
                <w:b w:val="1"/>
                <w:bCs w:val="1"/>
                <w:color w:val="auto"/>
              </w:rPr>
              <w:t>For the Nine Months Ended September 30,</w:t>
            </w:r>
          </w:p>
        </w:tc>
      </w:tr>
      <w:tr>
        <w:trPr>
          <w:trHeight w:val="109"/>
        </w:trPr>
        <w:tc>
          <w:tcPr>
            <w:tcW w:w="37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Borders>
              <w:top w:val="single" w:sz="8" w:color="auto"/>
              <w:bottom w:val="single" w:sz="8" w:color="auto"/>
            </w:tcBorders>
          </w:tcPr>
          <w:p>
            <w:pPr>
              <w:spacing w:after="0"/>
              <w:rPr>
                <w:sz w:val="9"/>
                <w:szCs w:val="9"/>
                <w:color w:val="auto"/>
              </w:rPr>
            </w:pPr>
          </w:p>
        </w:tc>
        <w:tc>
          <w:tcPr>
            <w:tcW w:w="720" w:type="dxa"/>
            <w:vAlign w:val="bottom"/>
            <w:tcBorders>
              <w:top w:val="single" w:sz="8" w:color="auto"/>
              <w:bottom w:val="single" w:sz="8" w:color="auto"/>
            </w:tcBorders>
          </w:tcPr>
          <w:p>
            <w:pPr>
              <w:jc w:val="right"/>
              <w:ind w:right="294"/>
              <w:spacing w:after="0" w:line="109" w:lineRule="exact"/>
              <w:rPr>
                <w:sz w:val="20"/>
                <w:szCs w:val="20"/>
                <w:color w:val="auto"/>
              </w:rPr>
            </w:pPr>
            <w:r>
              <w:rPr>
                <w:rFonts w:ascii="Times New Roman" w:cs="Times New Roman" w:eastAsia="Times New Roman" w:hAnsi="Times New Roman"/>
                <w:sz w:val="11"/>
                <w:szCs w:val="11"/>
                <w:b w:val="1"/>
                <w:bCs w:val="1"/>
                <w:color w:val="auto"/>
              </w:rPr>
              <w:t>2026</w:t>
            </w:r>
          </w:p>
        </w:tc>
        <w:tc>
          <w:tcPr>
            <w:tcW w:w="160" w:type="dxa"/>
            <w:vAlign w:val="bottom"/>
            <w:tcBorders>
              <w:top w:val="single" w:sz="8" w:color="auto"/>
            </w:tcBorders>
          </w:tcPr>
          <w:p>
            <w:pPr>
              <w:spacing w:after="0"/>
              <w:rPr>
                <w:sz w:val="9"/>
                <w:szCs w:val="9"/>
                <w:color w:val="auto"/>
              </w:rPr>
            </w:pPr>
          </w:p>
        </w:tc>
        <w:tc>
          <w:tcPr>
            <w:tcW w:w="220" w:type="dxa"/>
            <w:vAlign w:val="bottom"/>
            <w:tcBorders>
              <w:top w:val="single" w:sz="8" w:color="auto"/>
              <w:bottom w:val="single" w:sz="8" w:color="auto"/>
            </w:tcBorders>
          </w:tcPr>
          <w:p>
            <w:pPr>
              <w:spacing w:after="0"/>
              <w:rPr>
                <w:sz w:val="9"/>
                <w:szCs w:val="9"/>
                <w:color w:val="auto"/>
              </w:rPr>
            </w:pPr>
          </w:p>
        </w:tc>
        <w:tc>
          <w:tcPr>
            <w:tcW w:w="700" w:type="dxa"/>
            <w:vAlign w:val="bottom"/>
            <w:tcBorders>
              <w:top w:val="single" w:sz="8" w:color="auto"/>
              <w:bottom w:val="single" w:sz="8" w:color="auto"/>
            </w:tcBorders>
          </w:tcPr>
          <w:p>
            <w:pPr>
              <w:jc w:val="right"/>
              <w:ind w:right="272"/>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180" w:type="dxa"/>
            <w:vAlign w:val="bottom"/>
            <w:tcBorders>
              <w:top w:val="single" w:sz="8" w:color="auto"/>
            </w:tcBorders>
          </w:tcPr>
          <w:p>
            <w:pPr>
              <w:spacing w:after="0"/>
              <w:rPr>
                <w:sz w:val="9"/>
                <w:szCs w:val="9"/>
                <w:color w:val="auto"/>
              </w:rPr>
            </w:pPr>
          </w:p>
        </w:tc>
        <w:tc>
          <w:tcPr>
            <w:tcW w:w="140" w:type="dxa"/>
            <w:vAlign w:val="bottom"/>
            <w:tcBorders>
              <w:top w:val="single" w:sz="8" w:color="auto"/>
              <w:bottom w:val="single" w:sz="8" w:color="auto"/>
            </w:tcBorders>
          </w:tcPr>
          <w:p>
            <w:pPr>
              <w:spacing w:after="0"/>
              <w:rPr>
                <w:sz w:val="9"/>
                <w:szCs w:val="9"/>
                <w:color w:val="auto"/>
              </w:rPr>
            </w:pPr>
          </w:p>
        </w:tc>
        <w:tc>
          <w:tcPr>
            <w:tcW w:w="760" w:type="dxa"/>
            <w:vAlign w:val="bottom"/>
            <w:tcBorders>
              <w:top w:val="single" w:sz="8" w:color="auto"/>
              <w:bottom w:val="single" w:sz="8" w:color="auto"/>
            </w:tcBorders>
          </w:tcPr>
          <w:p>
            <w:pPr>
              <w:jc w:val="right"/>
              <w:ind w:right="172"/>
              <w:spacing w:after="0" w:line="109" w:lineRule="exact"/>
              <w:rPr>
                <w:sz w:val="20"/>
                <w:szCs w:val="20"/>
                <w:color w:val="auto"/>
              </w:rPr>
            </w:pPr>
            <w:r>
              <w:rPr>
                <w:rFonts w:ascii="Times New Roman" w:cs="Times New Roman" w:eastAsia="Times New Roman" w:hAnsi="Times New Roman"/>
                <w:sz w:val="11"/>
                <w:szCs w:val="11"/>
                <w:b w:val="1"/>
                <w:bCs w:val="1"/>
                <w:color w:val="auto"/>
              </w:rPr>
              <w:t>Variance</w:t>
            </w:r>
          </w:p>
        </w:tc>
        <w:tc>
          <w:tcPr>
            <w:tcW w:w="100" w:type="dxa"/>
            <w:vAlign w:val="bottom"/>
          </w:tcPr>
          <w:p>
            <w:pPr>
              <w:spacing w:after="0"/>
              <w:rPr>
                <w:sz w:val="9"/>
                <w:szCs w:val="9"/>
                <w:color w:val="auto"/>
              </w:rPr>
            </w:pPr>
          </w:p>
        </w:tc>
      </w:tr>
      <w:tr>
        <w:trPr>
          <w:trHeight w:val="163"/>
        </w:trPr>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371,181</w:t>
            </w:r>
          </w:p>
        </w:tc>
        <w:tc>
          <w:tcPr>
            <w:tcW w:w="160" w:type="dxa"/>
            <w:vAlign w:val="bottom"/>
            <w:shd w:val="clear" w:color="auto" w:fill="CFF0FC"/>
          </w:tcPr>
          <w:p>
            <w:pPr>
              <w:spacing w:after="0"/>
              <w:rPr>
                <w:sz w:val="14"/>
                <w:szCs w:val="14"/>
                <w:color w:val="auto"/>
              </w:rPr>
            </w:pPr>
          </w:p>
        </w:tc>
        <w:tc>
          <w:tcPr>
            <w:tcW w:w="2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258,610</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112,571</w:t>
            </w:r>
          </w:p>
        </w:tc>
        <w:tc>
          <w:tcPr>
            <w:tcW w:w="100" w:type="dxa"/>
            <w:vAlign w:val="bottom"/>
            <w:shd w:val="clear" w:color="auto" w:fill="CFF0FC"/>
          </w:tcPr>
          <w:p>
            <w:pPr>
              <w:spacing w:after="0"/>
              <w:rPr>
                <w:sz w:val="14"/>
                <w:szCs w:val="14"/>
                <w:color w:val="auto"/>
              </w:rPr>
            </w:pPr>
          </w:p>
        </w:tc>
      </w:tr>
      <w:tr>
        <w:trPr>
          <w:trHeight w:val="172"/>
        </w:trPr>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696,003</w:t>
            </w:r>
          </w:p>
        </w:tc>
        <w:tc>
          <w:tcPr>
            <w:tcW w:w="160" w:type="dxa"/>
            <w:vAlign w:val="bottom"/>
          </w:tcPr>
          <w:p>
            <w:pPr>
              <w:spacing w:after="0"/>
              <w:rPr>
                <w:sz w:val="14"/>
                <w:szCs w:val="14"/>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(71,195)</w:t>
            </w:r>
          </w:p>
        </w:tc>
        <w:tc>
          <w:tcPr>
            <w:tcW w:w="1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767,198</w:t>
            </w:r>
          </w:p>
        </w:tc>
        <w:tc>
          <w:tcPr>
            <w:tcW w:w="100" w:type="dxa"/>
            <w:vAlign w:val="bottom"/>
          </w:tcPr>
          <w:p>
            <w:pPr>
              <w:spacing w:after="0"/>
              <w:rPr>
                <w:sz w:val="14"/>
                <w:szCs w:val="14"/>
                <w:color w:val="auto"/>
              </w:rPr>
            </w:pPr>
          </w:p>
        </w:tc>
      </w:tr>
      <w:tr>
        <w:trPr>
          <w:trHeight w:val="172"/>
        </w:trPr>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(437,821)</w:t>
            </w:r>
          </w:p>
        </w:tc>
        <w:tc>
          <w:tcPr>
            <w:tcW w:w="2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(107,368)</w:t>
            </w:r>
          </w:p>
        </w:tc>
        <w:tc>
          <w:tcPr>
            <w:tcW w:w="14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(330,453)</w:t>
            </w:r>
          </w:p>
        </w:tc>
      </w:tr>
    </w:tbl>
    <w:p>
      <w:pPr>
        <w:spacing w:after="0" w:line="15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Operating Activities</w:t>
      </w:r>
    </w:p>
    <w:p>
      <w:pPr>
        <w:spacing w:after="0" w:line="99" w:lineRule="exact"/>
        <w:rPr>
          <w:sz w:val="20"/>
          <w:szCs w:val="20"/>
          <w:color w:val="auto"/>
        </w:rPr>
      </w:pPr>
    </w:p>
    <w:p>
      <w:pPr>
        <w:ind w:left="640" w:right="1039" w:firstLine="351"/>
        <w:spacing w:after="0" w:line="292" w:lineRule="auto"/>
        <w:rPr>
          <w:sz w:val="20"/>
          <w:szCs w:val="20"/>
          <w:color w:val="auto"/>
        </w:rPr>
      </w:pPr>
      <w:r>
        <w:rPr>
          <w:rFonts w:ascii="Times New Roman" w:cs="Times New Roman" w:eastAsia="Times New Roman" w:hAnsi="Times New Roman"/>
          <w:sz w:val="14"/>
          <w:szCs w:val="14"/>
          <w:color w:val="auto"/>
        </w:rPr>
        <w:t>Net cash provided by operating activities was $371.2 million for the nine months ended September 30, 2026, compared to $258.6 million for the nine months ended September 30, 2025. The change was primarily due to the following:</w:t>
      </w:r>
    </w:p>
    <w:p>
      <w:pPr>
        <w:spacing w:after="0" w:line="38" w:lineRule="exact"/>
        <w:rPr>
          <w:sz w:val="20"/>
          <w:szCs w:val="20"/>
          <w:color w:val="auto"/>
        </w:rPr>
      </w:pPr>
    </w:p>
    <w:p>
      <w:pPr>
        <w:ind w:left="4440" w:right="1719" w:hanging="3452"/>
        <w:spacing w:after="0" w:line="548" w:lineRule="auto"/>
        <w:tabs>
          <w:tab w:leader="none" w:pos="1346"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$225.2 million increase in operating income from continuing operations in 2026 as compared to 2025;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238760</wp:posOffset>
            </wp:positionV>
            <wp:extent cx="5603875" cy="3873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43" w:name="page44"/>
    <w:bookmarkEnd w:id="43"/>
    <w:p>
      <w:pPr>
        <w:ind w:left="1340" w:right="919" w:hanging="352"/>
        <w:spacing w:after="0" w:line="274" w:lineRule="auto"/>
        <w:tabs>
          <w:tab w:leader="none" w:pos="13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$34.9 million decrease in cash outflows for interest, net primarily as a result of a reduction in the variable-rate and applicable margin on our outstanding term debt, and refinancing of our First Lien in the second fiscal quarter of 2026; offset by</w:t>
      </w:r>
    </w:p>
    <w:p>
      <w:pPr>
        <w:spacing w:after="0" w:line="50" w:lineRule="exact"/>
        <w:rPr>
          <w:rFonts w:ascii="Times New Roman" w:cs="Times New Roman" w:eastAsia="Times New Roman" w:hAnsi="Times New Roman"/>
          <w:sz w:val="14"/>
          <w:szCs w:val="14"/>
          <w:color w:val="auto"/>
        </w:rPr>
      </w:pPr>
    </w:p>
    <w:p>
      <w:pPr>
        <w:ind w:left="1340" w:right="779" w:hanging="352"/>
        <w:spacing w:after="0" w:line="292" w:lineRule="auto"/>
        <w:tabs>
          <w:tab w:leader="none" w:pos="13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$144.0 million increase in cash outflows for income taxes, which includes $97.0 million of taxes paid as a result of the Community Living divestiture; and</w:t>
      </w:r>
    </w:p>
    <w:p>
      <w:pPr>
        <w:spacing w:after="0" w:line="37" w:lineRule="exact"/>
        <w:rPr>
          <w:rFonts w:ascii="Times New Roman" w:cs="Times New Roman" w:eastAsia="Times New Roman" w:hAnsi="Times New Roman"/>
          <w:sz w:val="14"/>
          <w:szCs w:val="14"/>
          <w:color w:val="auto"/>
        </w:rPr>
      </w:pPr>
    </w:p>
    <w:p>
      <w:pPr>
        <w:ind w:left="1340" w:right="819" w:hanging="352"/>
        <w:spacing w:after="0" w:line="292" w:lineRule="auto"/>
        <w:tabs>
          <w:tab w:leader="none" w:pos="13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$17.0 million increase in transaction costs related to the closing of the Community Living divestiture in the first fiscal quarter of 2026.</w:t>
      </w:r>
    </w:p>
    <w:p>
      <w:pPr>
        <w:spacing w:after="0" w:line="2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Investing Activities</w:t>
      </w:r>
    </w:p>
    <w:p>
      <w:pPr>
        <w:spacing w:after="0" w:line="99" w:lineRule="exact"/>
        <w:rPr>
          <w:sz w:val="20"/>
          <w:szCs w:val="20"/>
          <w:color w:val="auto"/>
        </w:rPr>
      </w:pPr>
    </w:p>
    <w:p>
      <w:pPr>
        <w:ind w:left="640" w:right="699" w:firstLine="351"/>
        <w:spacing w:after="0" w:line="268" w:lineRule="auto"/>
        <w:rPr>
          <w:sz w:val="20"/>
          <w:szCs w:val="20"/>
          <w:color w:val="auto"/>
        </w:rPr>
      </w:pPr>
      <w:r>
        <w:rPr>
          <w:rFonts w:ascii="Times New Roman" w:cs="Times New Roman" w:eastAsia="Times New Roman" w:hAnsi="Times New Roman"/>
          <w:sz w:val="14"/>
          <w:szCs w:val="14"/>
          <w:color w:val="auto"/>
        </w:rPr>
        <w:t>Net cash provided by (used in) investing activities increased by $767.2 million, from a cash outflow of $71.2 million in the nine months ended September 30, 2025 to a cash inflow of $696.0 million in the nine months ended September 30, 2026. The increase was primarily due to proceeds from the sale of our Community Living business of $810.9 million, offset by a $35.8 million decrease in cash paid for acquisitions in 2026 compared to 2025.</w:t>
      </w:r>
    </w:p>
    <w:p>
      <w:pPr>
        <w:spacing w:after="0" w:line="13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Financing Activities</w:t>
      </w:r>
    </w:p>
    <w:p>
      <w:pPr>
        <w:spacing w:after="0" w:line="99" w:lineRule="exact"/>
        <w:rPr>
          <w:sz w:val="20"/>
          <w:szCs w:val="20"/>
          <w:color w:val="auto"/>
        </w:rPr>
      </w:pPr>
    </w:p>
    <w:p>
      <w:pPr>
        <w:ind w:left="640" w:right="659" w:firstLine="351"/>
        <w:spacing w:after="0" w:line="268" w:lineRule="auto"/>
        <w:rPr>
          <w:sz w:val="20"/>
          <w:szCs w:val="20"/>
          <w:color w:val="auto"/>
        </w:rPr>
      </w:pPr>
      <w:r>
        <w:rPr>
          <w:rFonts w:ascii="Times New Roman" w:cs="Times New Roman" w:eastAsia="Times New Roman" w:hAnsi="Times New Roman"/>
          <w:sz w:val="14"/>
          <w:szCs w:val="14"/>
          <w:color w:val="auto"/>
        </w:rPr>
        <w:t>Net cash used in financing activities was $437.8 million for the nine months ended September 30, 2026, primarily attributable to repayments on our long-term debt of $332.3 million, repurchase of shares of common stock of $120.0 million in connection with the March and June 2026 registered secondary offerings, and payment of finance lease obligations of $7.6 million, offset by the net proceeds from share-based compensation and settlement of equity awards of $25.7 million and other financing activities.</w:t>
      </w:r>
    </w:p>
    <w:p>
      <w:pPr>
        <w:spacing w:after="0" w:line="54" w:lineRule="exact"/>
        <w:rPr>
          <w:sz w:val="20"/>
          <w:szCs w:val="20"/>
          <w:color w:val="auto"/>
        </w:rPr>
      </w:pPr>
    </w:p>
    <w:p>
      <w:pPr>
        <w:ind w:left="640" w:right="659" w:firstLine="351"/>
        <w:spacing w:after="0" w:line="274" w:lineRule="auto"/>
        <w:rPr>
          <w:sz w:val="20"/>
          <w:szCs w:val="20"/>
          <w:color w:val="auto"/>
        </w:rPr>
      </w:pPr>
      <w:r>
        <w:rPr>
          <w:rFonts w:ascii="Times New Roman" w:cs="Times New Roman" w:eastAsia="Times New Roman" w:hAnsi="Times New Roman"/>
          <w:sz w:val="14"/>
          <w:szCs w:val="14"/>
          <w:color w:val="auto"/>
        </w:rPr>
        <w:t>Net cash used in financing activities was $107.4 million for the nine months ended September 30, 2025, primarily attributable to repayments on our long-term debt of $37.9 million, net repayments on our Revolving Credit Facility of $63.3 million, payment of financing lease obligations of $10.1 million, offset by other financing activities.</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Debt</w:t>
      </w:r>
    </w:p>
    <w:p>
      <w:pPr>
        <w:spacing w:after="0" w:line="99" w:lineRule="exact"/>
        <w:rPr>
          <w:sz w:val="20"/>
          <w:szCs w:val="20"/>
          <w:color w:val="auto"/>
        </w:rPr>
      </w:pPr>
    </w:p>
    <w:p>
      <w:pPr>
        <w:ind w:left="640" w:right="699" w:firstLine="351"/>
        <w:spacing w:after="0" w:line="274" w:lineRule="auto"/>
        <w:rPr>
          <w:sz w:val="20"/>
          <w:szCs w:val="20"/>
          <w:color w:val="auto"/>
        </w:rPr>
      </w:pPr>
      <w:r>
        <w:rPr>
          <w:rFonts w:ascii="Times New Roman" w:cs="Times New Roman" w:eastAsia="Times New Roman" w:hAnsi="Times New Roman"/>
          <w:sz w:val="14"/>
          <w:szCs w:val="14"/>
          <w:color w:val="auto"/>
        </w:rPr>
        <w:t>We typically incur debt to finance mergers and acquisitions, and we borrow under our Revolving Credit Facility for working capital purposes, as well as to finance acquisitions, as needed. Below is a summary of our long-term indebtedness as of September 30, 2026 and December 31, 2025.</w:t>
      </w:r>
    </w:p>
    <w:p>
      <w:pPr>
        <w:spacing w:after="0" w:line="13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First Lien Credit Agreement</w:t>
      </w:r>
    </w:p>
    <w:p>
      <w:pPr>
        <w:spacing w:after="0" w:line="99" w:lineRule="exact"/>
        <w:rPr>
          <w:sz w:val="20"/>
          <w:szCs w:val="20"/>
          <w:color w:val="auto"/>
        </w:rPr>
      </w:pPr>
    </w:p>
    <w:p>
      <w:pPr>
        <w:ind w:left="640" w:right="819" w:firstLine="351"/>
        <w:spacing w:after="0" w:line="265" w:lineRule="auto"/>
        <w:rPr>
          <w:sz w:val="20"/>
          <w:szCs w:val="20"/>
          <w:color w:val="auto"/>
        </w:rPr>
      </w:pPr>
      <w:r>
        <w:rPr>
          <w:rFonts w:ascii="Times New Roman" w:cs="Times New Roman" w:eastAsia="Times New Roman" w:hAnsi="Times New Roman"/>
          <w:sz w:val="14"/>
          <w:szCs w:val="14"/>
          <w:color w:val="auto"/>
        </w:rPr>
        <w:t>On March 5, 2019, the Company entered into the First Lien Credit Agreement, among Phoenix Intermediate Holdings Inc., as Holdings, Phoenix Guarantor Inc., as the Borrower, the several lenders from time to time parties thereto and Morgan Stanley Senior Funding, Inc., as the Administrative Agent and Collateral Agent (the “First Lien Credit Agreement”). On December 11, 2024 we amended the First Lien to refinance the outstanding principal by establishing Tranche B-5 in an aggregate principal amount of $2,553.2 million at a rate equal to SOFR plus 2.50% or ABR plus 1.50% with a maturity date of February 21, 2031.</w:t>
      </w:r>
    </w:p>
    <w:p>
      <w:pPr>
        <w:spacing w:after="0" w:line="56" w:lineRule="exact"/>
        <w:rPr>
          <w:sz w:val="20"/>
          <w:szCs w:val="20"/>
          <w:color w:val="auto"/>
        </w:rPr>
      </w:pPr>
    </w:p>
    <w:p>
      <w:pPr>
        <w:ind w:left="640" w:right="679" w:firstLine="516"/>
        <w:spacing w:after="0" w:line="262" w:lineRule="auto"/>
        <w:rPr>
          <w:sz w:val="20"/>
          <w:szCs w:val="20"/>
          <w:color w:val="auto"/>
        </w:rPr>
      </w:pPr>
      <w:r>
        <w:rPr>
          <w:rFonts w:ascii="Times New Roman" w:cs="Times New Roman" w:eastAsia="Times New Roman" w:hAnsi="Times New Roman"/>
          <w:sz w:val="14"/>
          <w:szCs w:val="14"/>
          <w:color w:val="auto"/>
        </w:rPr>
        <w:t>On May 28, 2026, we used a portion of the net proceeds received from the divestiture of the Community Living business to repay $300.0 million of the borrowing under Tranche B-5, and amended the First Lien to establish a new Tranche B-6 Term Loan (“Tranche B-6”) in an aggregate principal amount of $2,214.9 million. The proceeds from Tranche B-6 borrowings were used to refinance the equivalent amount of the remaining Tranche B-5, after the aforementioned debt paydown, at a rate equal to SOFR plus 2.00% or ABR plus 1.00% with a maturity date of February 21, 2031. The transaction was accounted for as a debt modification. Principal payments are due on the last business day of each quarter, which commenced in the third fiscal quarter of 2026 and equate to 0.25% of the principal at issuance, with a balloon payment due February 21, 2031.</w:t>
      </w:r>
    </w:p>
    <w:p>
      <w:pPr>
        <w:spacing w:after="0" w:line="59" w:lineRule="exact"/>
        <w:rPr>
          <w:sz w:val="20"/>
          <w:szCs w:val="20"/>
          <w:color w:val="auto"/>
        </w:rPr>
      </w:pPr>
    </w:p>
    <w:p>
      <w:pPr>
        <w:ind w:left="640" w:right="1019" w:firstLine="551"/>
        <w:spacing w:after="0" w:line="292" w:lineRule="auto"/>
        <w:rPr>
          <w:sz w:val="20"/>
          <w:szCs w:val="20"/>
          <w:color w:val="auto"/>
        </w:rPr>
      </w:pPr>
      <w:r>
        <w:rPr>
          <w:rFonts w:ascii="Times New Roman" w:cs="Times New Roman" w:eastAsia="Times New Roman" w:hAnsi="Times New Roman"/>
          <w:sz w:val="14"/>
          <w:szCs w:val="14"/>
          <w:color w:val="auto"/>
        </w:rPr>
        <w:t>For additional information about our First Lien Credit Agreement, see Note 6 of the unaudited condensed consolidated financial statements and related notes in this Quarterly Report on Form 10-Q.</w:t>
      </w:r>
    </w:p>
    <w:p>
      <w:pPr>
        <w:spacing w:after="0" w:line="38" w:lineRule="exact"/>
        <w:rPr>
          <w:sz w:val="20"/>
          <w:szCs w:val="20"/>
          <w:color w:val="auto"/>
        </w:rPr>
      </w:pPr>
    </w:p>
    <w:p>
      <w:pPr>
        <w:ind w:left="640" w:right="659" w:firstLine="351"/>
        <w:spacing w:after="0" w:line="261" w:lineRule="auto"/>
        <w:rPr>
          <w:sz w:val="20"/>
          <w:szCs w:val="20"/>
          <w:color w:val="auto"/>
        </w:rPr>
      </w:pPr>
      <w:r>
        <w:rPr>
          <w:rFonts w:ascii="Times New Roman" w:cs="Times New Roman" w:eastAsia="Times New Roman" w:hAnsi="Times New Roman"/>
          <w:sz w:val="14"/>
          <w:szCs w:val="14"/>
          <w:color w:val="auto"/>
        </w:rPr>
        <w:t>The First Lien Credit Agreement described above contain customary negative covenants, including, but not limited to, restrictions on the Company and its restricted subsidiaries’ ability to merge and consolidate with other companies, incur indebtedness, grant liens or security interests on assets, make acquisitions, loans, advances, or investments, pay dividends, sell or otherwise transfer assets, prepay or modify terms of certain junior indebtedness, enter into transactions with affiliates, or change their lines of business or fiscal year. In addition, under the Revolving Credit Facility, the Company will not permit the consolidated first lien secured debt to consolidated EBITDA (as defined in the First Lien Credit Agreement) ratio to be greater than 6.90 to 1.00, which shall be tested as of the end of the most recent quarter at any time when the aggregate revolving credit loans exceed 35% of the total revolving credit commitments.</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44" w:name="page45"/>
    <w:bookmarkEnd w:id="44"/>
    <w:p>
      <w:pPr>
        <w:ind w:left="980"/>
        <w:spacing w:after="0"/>
        <w:rPr>
          <w:sz w:val="20"/>
          <w:szCs w:val="20"/>
          <w:color w:val="auto"/>
        </w:rPr>
      </w:pPr>
      <w:r>
        <w:rPr>
          <w:rFonts w:ascii="Times New Roman" w:cs="Times New Roman" w:eastAsia="Times New Roman" w:hAnsi="Times New Roman"/>
          <w:sz w:val="14"/>
          <w:szCs w:val="14"/>
          <w:color w:val="auto"/>
        </w:rPr>
        <w:t>We were in compliance with all applicable financial covenants as of September 30, 2026 and December 31, 2025.</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Revolving Credit Facility</w:t>
      </w:r>
    </w:p>
    <w:p>
      <w:pPr>
        <w:spacing w:after="0" w:line="99" w:lineRule="exact"/>
        <w:rPr>
          <w:sz w:val="20"/>
          <w:szCs w:val="20"/>
          <w:color w:val="auto"/>
        </w:rPr>
      </w:pPr>
    </w:p>
    <w:p>
      <w:pPr>
        <w:ind w:left="640" w:right="719" w:firstLine="351"/>
        <w:spacing w:after="0" w:line="262" w:lineRule="auto"/>
        <w:rPr>
          <w:sz w:val="20"/>
          <w:szCs w:val="20"/>
          <w:color w:val="auto"/>
        </w:rPr>
      </w:pPr>
      <w:r>
        <w:rPr>
          <w:rFonts w:ascii="Times New Roman" w:cs="Times New Roman" w:eastAsia="Times New Roman" w:hAnsi="Times New Roman"/>
          <w:sz w:val="14"/>
          <w:szCs w:val="14"/>
          <w:color w:val="auto"/>
        </w:rPr>
        <w:t>In connection with the First Lien debt modification on May 28, 2026, borrowings of the Revolver bear interest at a rate equal to SOFR (with a floor of 0.00%) plus 2.00% for the Revolving Credit Loans or ABR (with a floor of 0.00%) plus 1.00% for the Swingline Loans. Prior to the debt modification, borrowings bore interest at a rate equal to SOFR (with a floor of 0.00%) plus 2.75% for the Revolving Credit Loans and ABR (with a floor of 0.00%) plus 1.75% for the Swingline Loans. The total borrowing capacity under the Revolving Credit Facility included in the First Lien Credit Agreement (the “Revolver”) was $475.0 million as of September 30, 2026 and December 31, 2025. As of September 30, 2026 and December 31, 2025, the Company had $475.0 million of borrowing capacity available under the Revolver as there were no borrowings under the Revolver or letters of credit outstanding.</w:t>
      </w:r>
    </w:p>
    <w:p>
      <w:pPr>
        <w:spacing w:after="0" w:line="59" w:lineRule="exact"/>
        <w:rPr>
          <w:sz w:val="20"/>
          <w:szCs w:val="20"/>
          <w:color w:val="auto"/>
        </w:rPr>
      </w:pPr>
    </w:p>
    <w:p>
      <w:pPr>
        <w:ind w:left="640" w:right="679" w:firstLine="351"/>
        <w:spacing w:after="0" w:line="268" w:lineRule="auto"/>
        <w:rPr>
          <w:sz w:val="20"/>
          <w:szCs w:val="20"/>
          <w:color w:val="auto"/>
        </w:rPr>
      </w:pPr>
      <w:r>
        <w:rPr>
          <w:rFonts w:ascii="Times New Roman" w:cs="Times New Roman" w:eastAsia="Times New Roman" w:hAnsi="Times New Roman"/>
          <w:sz w:val="14"/>
          <w:szCs w:val="14"/>
          <w:color w:val="auto"/>
        </w:rPr>
        <w:t>The First Lien Credit Agreement provides for an additional $65.0 million of letter of credit commitments, or the LC Facility, which are not subject to the LC Sublimit. As of September 30, 2026, there were $63.9 million of letters of credit outstanding under the LC Facility, resulting in an available borrowing capacity of $1.1 million. As of December 31, 2025, there were $62.8 million of letters of credit outstanding under the LC Facility, resulting in an available borrowing capacity of $2.2 million.</w:t>
      </w:r>
    </w:p>
    <w:p>
      <w:pPr>
        <w:spacing w:after="0" w:line="54" w:lineRule="exact"/>
        <w:rPr>
          <w:sz w:val="20"/>
          <w:szCs w:val="20"/>
          <w:color w:val="auto"/>
        </w:rPr>
      </w:pPr>
    </w:p>
    <w:p>
      <w:pPr>
        <w:ind w:left="640" w:right="1019" w:firstLine="551"/>
        <w:spacing w:after="0" w:line="292" w:lineRule="auto"/>
        <w:rPr>
          <w:sz w:val="20"/>
          <w:szCs w:val="20"/>
          <w:color w:val="auto"/>
        </w:rPr>
      </w:pPr>
      <w:r>
        <w:rPr>
          <w:rFonts w:ascii="Times New Roman" w:cs="Times New Roman" w:eastAsia="Times New Roman" w:hAnsi="Times New Roman"/>
          <w:sz w:val="14"/>
          <w:szCs w:val="14"/>
          <w:color w:val="auto"/>
        </w:rPr>
        <w:t>For additional information about our Revolving Credit Facility and LC Facility, see Note 6 of the unaudited condensed consolidated financial statements and related notes in this Quarterly Report on Form 10-Q.</w:t>
      </w:r>
    </w:p>
    <w:p>
      <w:pPr>
        <w:spacing w:after="0" w:line="1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Interest Rate Swap Agreements</w:t>
      </w:r>
    </w:p>
    <w:p>
      <w:pPr>
        <w:spacing w:after="0" w:line="99" w:lineRule="exact"/>
        <w:rPr>
          <w:sz w:val="20"/>
          <w:szCs w:val="20"/>
          <w:color w:val="auto"/>
        </w:rPr>
      </w:pPr>
    </w:p>
    <w:p>
      <w:pPr>
        <w:ind w:left="640" w:right="699" w:firstLine="516"/>
        <w:spacing w:after="0" w:line="265" w:lineRule="auto"/>
        <w:rPr>
          <w:sz w:val="20"/>
          <w:szCs w:val="20"/>
          <w:color w:val="auto"/>
        </w:rPr>
      </w:pPr>
      <w:r>
        <w:rPr>
          <w:rFonts w:ascii="Times New Roman" w:cs="Times New Roman" w:eastAsia="Times New Roman" w:hAnsi="Times New Roman"/>
          <w:sz w:val="14"/>
          <w:szCs w:val="14"/>
          <w:color w:val="auto"/>
        </w:rPr>
        <w:t>To manage fluctuations in cash flows resulting from changes in the variable interest rates, the Company entered into receive-variable, pay-fixed interest rate swap agreements. For the nine months ended September 30, 2026 and the year ended December 31, 2025, interest expense, net includes interest income received related to cash flow hedges of interest rate risk of $1.6 million and $15.2 million, respectively. Refer to Note 6 within our unaudited condensed consolidated financial statements and related notes in this Quarterly Report on Form 10-Q for further discussion.</w:t>
      </w:r>
    </w:p>
    <w:p>
      <w:pPr>
        <w:spacing w:after="0" w:line="14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Tangible Equity Units</w:t>
      </w:r>
    </w:p>
    <w:p>
      <w:pPr>
        <w:spacing w:after="0" w:line="99" w:lineRule="exact"/>
        <w:rPr>
          <w:sz w:val="20"/>
          <w:szCs w:val="20"/>
          <w:color w:val="auto"/>
        </w:rPr>
      </w:pPr>
    </w:p>
    <w:p>
      <w:pPr>
        <w:ind w:left="640" w:right="719" w:firstLine="516"/>
        <w:spacing w:after="0" w:line="260" w:lineRule="auto"/>
        <w:rPr>
          <w:sz w:val="20"/>
          <w:szCs w:val="20"/>
          <w:color w:val="auto"/>
        </w:rPr>
      </w:pPr>
      <w:r>
        <w:rPr>
          <w:rFonts w:ascii="Times New Roman" w:cs="Times New Roman" w:eastAsia="Times New Roman" w:hAnsi="Times New Roman"/>
          <w:sz w:val="14"/>
          <w:szCs w:val="14"/>
          <w:color w:val="auto"/>
        </w:rPr>
        <w:t>Concurrently with the IPO, we issued 8,000,000 Tangible Equity Units (“TEUs”), which have a stated amount of $50.00 per unit. Each TEU is comprised of a prepaid stock purchase contract (“Purchase Contract”) and a senior amortizing note (“Amortizing Note”) due February 1, 2027, each issued by the Company. The Company will pay equal quarterly cash installments of $0.8438 per Amortizing Note on February 1, May 1, August 1 and November 1, commencing on May 1, 2024, except for the May 1, 2024 installment payment, which was $0.8531 per Amortizing Note, with a final installment payment date of February 1, 2027. In the aggregate, the annual quarterly cash installments are the equivalent of 6.75% per year. Each installment payment constitutes a payment of interest and a partial repayment of principal. Each TEU may be separated by a holder into its constituent Purchase Contract and Amortizing Note. Refer to Note 7 within our unaudited condensed consolidated financial statements and related notes in this Quarterly Report on Form 10-Q for further discussion.</w:t>
      </w:r>
    </w:p>
    <w:p>
      <w:pPr>
        <w:spacing w:after="0" w:line="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The table below summarizes the total outstanding debt of the Company:</w:t>
      </w: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45" w:name="page46"/>
    <w:bookmarkEnd w:id="45"/>
    <w:tbl>
      <w:tblPr>
        <w:tblLayout w:type="fixed"/>
        <w:tblInd w:w="640" w:type="dxa"/>
        <w:tblCellMar>
          <w:top w:w="0" w:type="dxa"/>
          <w:left w:w="0" w:type="dxa"/>
          <w:bottom w:w="0" w:type="dxa"/>
          <w:right w:w="0" w:type="dxa"/>
        </w:tblCellMar>
      </w:tblPr>
      <w:tr>
        <w:trPr>
          <w:trHeight w:val="138"/>
        </w:trPr>
        <w:tc>
          <w:tcPr>
            <w:tcW w:w="2000" w:type="dxa"/>
            <w:vAlign w:val="bottom"/>
            <w:gridSpan w:val="2"/>
          </w:tcPr>
          <w:p>
            <w:pPr>
              <w:spacing w:after="0"/>
              <w:rPr>
                <w:sz w:val="20"/>
                <w:szCs w:val="20"/>
                <w:color w:val="auto"/>
              </w:rPr>
            </w:pPr>
            <w:r>
              <w:rPr>
                <w:rFonts w:ascii="Times New Roman" w:cs="Times New Roman" w:eastAsia="Times New Roman" w:hAnsi="Times New Roman"/>
                <w:sz w:val="12"/>
                <w:szCs w:val="12"/>
                <w:i w:val="1"/>
                <w:iCs w:val="1"/>
                <w:color w:val="auto"/>
              </w:rPr>
              <w:t>($ in thousands)</w:t>
            </w:r>
          </w:p>
        </w:tc>
        <w:tc>
          <w:tcPr>
            <w:tcW w:w="10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Rate</w:t>
            </w:r>
          </w:p>
        </w:tc>
        <w:tc>
          <w:tcPr>
            <w:tcW w:w="80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gridSpan w:val="4"/>
          </w:tcPr>
          <w:p>
            <w:pPr>
              <w:jc w:val="right"/>
              <w:ind w:right="320"/>
              <w:spacing w:after="0"/>
              <w:rPr>
                <w:sz w:val="20"/>
                <w:szCs w:val="20"/>
                <w:color w:val="auto"/>
              </w:rPr>
            </w:pPr>
            <w:r>
              <w:rPr>
                <w:rFonts w:ascii="Times New Roman" w:cs="Times New Roman" w:eastAsia="Times New Roman" w:hAnsi="Times New Roman"/>
                <w:sz w:val="11"/>
                <w:szCs w:val="11"/>
                <w:b w:val="1"/>
                <w:bCs w:val="1"/>
                <w:color w:val="auto"/>
              </w:rPr>
              <w:t>Outstanding Debt</w:t>
            </w:r>
          </w:p>
        </w:tc>
        <w:tc>
          <w:tcPr>
            <w:tcW w:w="1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1"/>
                <w:szCs w:val="11"/>
                <w:b w:val="1"/>
                <w:bCs w:val="1"/>
                <w:color w:val="auto"/>
              </w:rPr>
              <w:t>Interest Expense</w:t>
            </w:r>
          </w:p>
        </w:tc>
        <w:tc>
          <w:tcPr>
            <w:tcW w:w="4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90"/>
        </w:trPr>
        <w:tc>
          <w:tcPr>
            <w:tcW w:w="20" w:type="dxa"/>
            <w:vAlign w:val="bottom"/>
          </w:tcPr>
          <w:p>
            <w:pPr>
              <w:spacing w:after="0"/>
              <w:rPr>
                <w:sz w:val="7"/>
                <w:szCs w:val="7"/>
                <w:color w:val="auto"/>
              </w:rPr>
            </w:pPr>
          </w:p>
        </w:tc>
        <w:tc>
          <w:tcPr>
            <w:tcW w:w="1980" w:type="dxa"/>
            <w:vAlign w:val="bottom"/>
          </w:tcPr>
          <w:p>
            <w:pPr>
              <w:spacing w:after="0"/>
              <w:rPr>
                <w:sz w:val="7"/>
                <w:szCs w:val="7"/>
                <w:color w:val="auto"/>
              </w:rPr>
            </w:pPr>
          </w:p>
        </w:tc>
        <w:tc>
          <w:tcPr>
            <w:tcW w:w="1060" w:type="dxa"/>
            <w:vAlign w:val="bottom"/>
            <w:gridSpan w:val="2"/>
          </w:tcPr>
          <w:p>
            <w:pPr>
              <w:jc w:val="right"/>
              <w:ind w:right="300"/>
              <w:spacing w:after="0" w:line="90" w:lineRule="exact"/>
              <w:rPr>
                <w:sz w:val="20"/>
                <w:szCs w:val="20"/>
                <w:color w:val="auto"/>
              </w:rPr>
            </w:pPr>
            <w:r>
              <w:rPr>
                <w:rFonts w:ascii="Times New Roman" w:cs="Times New Roman" w:eastAsia="Times New Roman" w:hAnsi="Times New Roman"/>
                <w:sz w:val="10"/>
                <w:szCs w:val="10"/>
                <w:b w:val="1"/>
                <w:bCs w:val="1"/>
                <w:color w:val="auto"/>
              </w:rPr>
              <w:t>September 30,</w:t>
            </w:r>
          </w:p>
        </w:tc>
        <w:tc>
          <w:tcPr>
            <w:tcW w:w="800" w:type="dxa"/>
            <w:vAlign w:val="bottom"/>
          </w:tcPr>
          <w:p>
            <w:pPr>
              <w:jc w:val="right"/>
              <w:ind w:right="21"/>
              <w:spacing w:after="0" w:line="90"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180" w:type="dxa"/>
            <w:vAlign w:val="bottom"/>
          </w:tcPr>
          <w:p>
            <w:pPr>
              <w:spacing w:after="0"/>
              <w:rPr>
                <w:sz w:val="7"/>
                <w:szCs w:val="7"/>
                <w:color w:val="auto"/>
              </w:rPr>
            </w:pPr>
          </w:p>
        </w:tc>
        <w:tc>
          <w:tcPr>
            <w:tcW w:w="780" w:type="dxa"/>
            <w:vAlign w:val="bottom"/>
            <w:gridSpan w:val="2"/>
          </w:tcPr>
          <w:p>
            <w:pPr>
              <w:jc w:val="right"/>
              <w:spacing w:after="0" w:line="90" w:lineRule="exact"/>
              <w:rPr>
                <w:sz w:val="20"/>
                <w:szCs w:val="20"/>
                <w:color w:val="auto"/>
              </w:rPr>
            </w:pPr>
            <w:r>
              <w:rPr>
                <w:rFonts w:ascii="Times New Roman" w:cs="Times New Roman" w:eastAsia="Times New Roman" w:hAnsi="Times New Roman"/>
                <w:sz w:val="10"/>
                <w:szCs w:val="10"/>
                <w:b w:val="1"/>
                <w:bCs w:val="1"/>
                <w:color w:val="auto"/>
              </w:rPr>
              <w:t>September 30,</w:t>
            </w:r>
          </w:p>
        </w:tc>
        <w:tc>
          <w:tcPr>
            <w:tcW w:w="160" w:type="dxa"/>
            <w:vAlign w:val="bottom"/>
          </w:tcPr>
          <w:p>
            <w:pPr>
              <w:spacing w:after="0"/>
              <w:rPr>
                <w:sz w:val="7"/>
                <w:szCs w:val="7"/>
                <w:color w:val="auto"/>
              </w:rPr>
            </w:pPr>
          </w:p>
        </w:tc>
        <w:tc>
          <w:tcPr>
            <w:tcW w:w="680" w:type="dxa"/>
            <w:vAlign w:val="bottom"/>
            <w:gridSpan w:val="2"/>
          </w:tcPr>
          <w:p>
            <w:pPr>
              <w:spacing w:after="0" w:line="90"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160" w:type="dxa"/>
            <w:vAlign w:val="bottom"/>
          </w:tcPr>
          <w:p>
            <w:pPr>
              <w:spacing w:after="0"/>
              <w:rPr>
                <w:sz w:val="7"/>
                <w:szCs w:val="7"/>
                <w:color w:val="auto"/>
              </w:rPr>
            </w:pPr>
          </w:p>
        </w:tc>
        <w:tc>
          <w:tcPr>
            <w:tcW w:w="1240" w:type="dxa"/>
            <w:vAlign w:val="bottom"/>
            <w:gridSpan w:val="3"/>
          </w:tcPr>
          <w:p>
            <w:pPr>
              <w:jc w:val="right"/>
              <w:ind w:right="220"/>
              <w:spacing w:after="0" w:line="90" w:lineRule="exact"/>
              <w:rPr>
                <w:sz w:val="20"/>
                <w:szCs w:val="20"/>
                <w:color w:val="auto"/>
              </w:rPr>
            </w:pPr>
            <w:r>
              <w:rPr>
                <w:rFonts w:ascii="Times New Roman" w:cs="Times New Roman" w:eastAsia="Times New Roman" w:hAnsi="Times New Roman"/>
                <w:sz w:val="10"/>
                <w:szCs w:val="10"/>
                <w:b w:val="1"/>
                <w:bCs w:val="1"/>
                <w:color w:val="auto"/>
              </w:rPr>
              <w:t>Nine Months Ended</w:t>
            </w:r>
          </w:p>
        </w:tc>
        <w:tc>
          <w:tcPr>
            <w:tcW w:w="600" w:type="dxa"/>
            <w:vAlign w:val="bottom"/>
            <w:gridSpan w:val="2"/>
          </w:tcPr>
          <w:p>
            <w:pPr>
              <w:spacing w:after="0" w:line="90" w:lineRule="exact"/>
              <w:rPr>
                <w:sz w:val="20"/>
                <w:szCs w:val="20"/>
                <w:color w:val="auto"/>
              </w:rPr>
            </w:pPr>
            <w:r>
              <w:rPr>
                <w:rFonts w:ascii="Times New Roman" w:cs="Times New Roman" w:eastAsia="Times New Roman" w:hAnsi="Times New Roman"/>
                <w:sz w:val="10"/>
                <w:szCs w:val="10"/>
                <w:b w:val="1"/>
                <w:bCs w:val="1"/>
                <w:color w:val="auto"/>
              </w:rPr>
              <w:t>Fiscal Year</w:t>
            </w:r>
          </w:p>
        </w:tc>
        <w:tc>
          <w:tcPr>
            <w:tcW w:w="80" w:type="dxa"/>
            <w:vAlign w:val="bottom"/>
          </w:tcPr>
          <w:p>
            <w:pPr>
              <w:spacing w:after="0"/>
              <w:rPr>
                <w:sz w:val="7"/>
                <w:szCs w:val="7"/>
                <w:color w:val="auto"/>
              </w:rPr>
            </w:pPr>
          </w:p>
        </w:tc>
      </w:tr>
      <w:tr>
        <w:trPr>
          <w:trHeight w:val="137"/>
        </w:trPr>
        <w:tc>
          <w:tcPr>
            <w:tcW w:w="2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86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1"/>
                <w:szCs w:val="11"/>
                <w:b w:val="1"/>
                <w:bCs w:val="1"/>
                <w:color w:val="auto"/>
              </w:rPr>
              <w:t>2026</w:t>
            </w:r>
          </w:p>
        </w:tc>
        <w:tc>
          <w:tcPr>
            <w:tcW w:w="200" w:type="dxa"/>
            <w:vAlign w:val="bottom"/>
          </w:tcPr>
          <w:p>
            <w:pPr>
              <w:spacing w:after="0"/>
              <w:rPr>
                <w:sz w:val="11"/>
                <w:szCs w:val="11"/>
                <w:color w:val="auto"/>
              </w:rPr>
            </w:pPr>
          </w:p>
        </w:tc>
        <w:tc>
          <w:tcPr>
            <w:tcW w:w="80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1"/>
                <w:szCs w:val="11"/>
                <w:b w:val="1"/>
                <w:bCs w:val="1"/>
                <w:color w:val="auto"/>
              </w:rPr>
              <w:t>2025</w:t>
            </w:r>
          </w:p>
        </w:tc>
        <w:tc>
          <w:tcPr>
            <w:tcW w:w="1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1"/>
                <w:szCs w:val="11"/>
                <w:b w:val="1"/>
                <w:bCs w:val="1"/>
                <w:color w:val="auto"/>
              </w:rPr>
              <w:t>2026</w:t>
            </w:r>
          </w:p>
        </w:tc>
        <w:tc>
          <w:tcPr>
            <w:tcW w:w="1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rPr>
              <w:t>2025</w:t>
            </w:r>
          </w:p>
        </w:tc>
        <w:tc>
          <w:tcPr>
            <w:tcW w:w="160" w:type="dxa"/>
            <w:vAlign w:val="bottom"/>
          </w:tcPr>
          <w:p>
            <w:pPr>
              <w:spacing w:after="0"/>
              <w:rPr>
                <w:sz w:val="11"/>
                <w:szCs w:val="11"/>
                <w:color w:val="auto"/>
              </w:rPr>
            </w:pP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September 30, 2026</w:t>
            </w:r>
          </w:p>
        </w:tc>
        <w:tc>
          <w:tcPr>
            <w:tcW w:w="1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Pr>
          <w:p>
            <w:pPr>
              <w:spacing w:after="0"/>
              <w:rPr>
                <w:sz w:val="11"/>
                <w:szCs w:val="11"/>
                <w:color w:val="auto"/>
              </w:rPr>
            </w:pPr>
          </w:p>
        </w:tc>
      </w:tr>
      <w:tr>
        <w:trPr>
          <w:trHeight w:val="105"/>
        </w:trPr>
        <w:tc>
          <w:tcPr>
            <w:tcW w:w="20" w:type="dxa"/>
            <w:vAlign w:val="bottom"/>
          </w:tcPr>
          <w:p>
            <w:pPr>
              <w:spacing w:after="0"/>
              <w:rPr>
                <w:sz w:val="9"/>
                <w:szCs w:val="9"/>
                <w:color w:val="auto"/>
              </w:rPr>
            </w:pPr>
          </w:p>
        </w:tc>
        <w:tc>
          <w:tcPr>
            <w:tcW w:w="1980" w:type="dxa"/>
            <w:vAlign w:val="bottom"/>
            <w:shd w:val="clear" w:color="auto" w:fill="CFF0FC"/>
          </w:tcPr>
          <w:p>
            <w:pPr>
              <w:spacing w:after="0" w:line="105" w:lineRule="exact"/>
              <w:rPr>
                <w:sz w:val="20"/>
                <w:szCs w:val="20"/>
                <w:color w:val="auto"/>
              </w:rPr>
            </w:pPr>
            <w:r>
              <w:rPr>
                <w:rFonts w:ascii="Times New Roman" w:cs="Times New Roman" w:eastAsia="Times New Roman" w:hAnsi="Times New Roman"/>
                <w:sz w:val="12"/>
                <w:szCs w:val="12"/>
                <w:color w:val="auto"/>
              </w:rPr>
              <w:t>First Lien Incremental Term Loan</w:t>
            </w:r>
          </w:p>
        </w:tc>
        <w:tc>
          <w:tcPr>
            <w:tcW w:w="1060" w:type="dxa"/>
            <w:vAlign w:val="bottom"/>
            <w:gridSpan w:val="2"/>
            <w:shd w:val="clear" w:color="auto" w:fill="CFF0FC"/>
          </w:tcPr>
          <w:p>
            <w:pPr>
              <w:jc w:val="right"/>
              <w:ind w:right="100"/>
              <w:spacing w:after="0" w:line="105" w:lineRule="exact"/>
              <w:rPr>
                <w:sz w:val="20"/>
                <w:szCs w:val="20"/>
                <w:color w:val="auto"/>
              </w:rPr>
            </w:pPr>
            <w:r>
              <w:rPr>
                <w:rFonts w:ascii="Times New Roman" w:cs="Times New Roman" w:eastAsia="Times New Roman" w:hAnsi="Times New Roman"/>
                <w:sz w:val="12"/>
                <w:szCs w:val="12"/>
                <w:color w:val="auto"/>
              </w:rPr>
              <w:t>5.69%</w:t>
            </w:r>
          </w:p>
        </w:tc>
        <w:tc>
          <w:tcPr>
            <w:tcW w:w="980" w:type="dxa"/>
            <w:vAlign w:val="bottom"/>
            <w:gridSpan w:val="2"/>
            <w:shd w:val="clear" w:color="auto" w:fill="CFF0FC"/>
          </w:tcPr>
          <w:p>
            <w:pPr>
              <w:jc w:val="right"/>
              <w:ind w:right="200"/>
              <w:spacing w:after="0" w:line="105"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FF0FC"/>
          </w:tcPr>
          <w:p>
            <w:pPr>
              <w:jc w:val="right"/>
              <w:ind w:right="66"/>
              <w:spacing w:after="0" w:line="105" w:lineRule="exact"/>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FF0FC"/>
          </w:tcPr>
          <w:p>
            <w:pPr>
              <w:jc w:val="right"/>
              <w:spacing w:after="0" w:line="105" w:lineRule="exact"/>
              <w:rPr>
                <w:sz w:val="20"/>
                <w:szCs w:val="20"/>
                <w:color w:val="auto"/>
              </w:rPr>
            </w:pPr>
            <w:r>
              <w:rPr>
                <w:rFonts w:ascii="Times New Roman" w:cs="Times New Roman" w:eastAsia="Times New Roman" w:hAnsi="Times New Roman"/>
                <w:sz w:val="12"/>
                <w:szCs w:val="12"/>
                <w:color w:val="auto"/>
              </w:rPr>
              <w:t>2,209,335</w:t>
            </w:r>
          </w:p>
        </w:tc>
        <w:tc>
          <w:tcPr>
            <w:tcW w:w="280" w:type="dxa"/>
            <w:vAlign w:val="bottom"/>
            <w:gridSpan w:val="2"/>
            <w:shd w:val="clear" w:color="auto" w:fill="CFF0FC"/>
          </w:tcPr>
          <w:p>
            <w:pPr>
              <w:ind w:left="160"/>
              <w:spacing w:after="0" w:line="105" w:lineRule="exact"/>
              <w:rPr>
                <w:sz w:val="20"/>
                <w:szCs w:val="20"/>
                <w:color w:val="auto"/>
              </w:rPr>
            </w:pPr>
            <w:r>
              <w:rPr>
                <w:rFonts w:ascii="Times New Roman" w:cs="Times New Roman" w:eastAsia="Times New Roman" w:hAnsi="Times New Roman"/>
                <w:sz w:val="12"/>
                <w:szCs w:val="12"/>
                <w:color w:val="auto"/>
              </w:rPr>
              <w:t>$</w:t>
            </w:r>
          </w:p>
        </w:tc>
        <w:tc>
          <w:tcPr>
            <w:tcW w:w="560" w:type="dxa"/>
            <w:vAlign w:val="bottom"/>
            <w:shd w:val="clear" w:color="auto" w:fill="CFF0FC"/>
          </w:tcPr>
          <w:p>
            <w:pPr>
              <w:jc w:val="right"/>
              <w:spacing w:after="0" w:line="105" w:lineRule="exact"/>
              <w:rPr>
                <w:sz w:val="20"/>
                <w:szCs w:val="20"/>
                <w:color w:val="auto"/>
              </w:rPr>
            </w:pPr>
            <w:r>
              <w:rPr>
                <w:rFonts w:ascii="Times New Roman" w:cs="Times New Roman" w:eastAsia="Times New Roman" w:hAnsi="Times New Roman"/>
                <w:sz w:val="12"/>
                <w:szCs w:val="12"/>
                <w:color w:val="auto"/>
              </w:rPr>
              <w:t>—</w:t>
            </w:r>
          </w:p>
        </w:tc>
        <w:tc>
          <w:tcPr>
            <w:tcW w:w="440" w:type="dxa"/>
            <w:vAlign w:val="bottom"/>
            <w:gridSpan w:val="2"/>
            <w:shd w:val="clear" w:color="auto" w:fill="CFF0FC"/>
          </w:tcPr>
          <w:p>
            <w:pPr>
              <w:jc w:val="right"/>
              <w:ind w:right="146"/>
              <w:spacing w:after="0" w:line="105" w:lineRule="exact"/>
              <w:rPr>
                <w:sz w:val="20"/>
                <w:szCs w:val="20"/>
                <w:color w:val="auto"/>
              </w:rPr>
            </w:pPr>
            <w:r>
              <w:rPr>
                <w:rFonts w:ascii="Times New Roman" w:cs="Times New Roman" w:eastAsia="Times New Roman" w:hAnsi="Times New Roman"/>
                <w:sz w:val="12"/>
                <w:szCs w:val="12"/>
                <w:color w:val="auto"/>
              </w:rPr>
              <w:t>$</w:t>
            </w:r>
          </w:p>
        </w:tc>
        <w:tc>
          <w:tcPr>
            <w:tcW w:w="800" w:type="dxa"/>
            <w:vAlign w:val="bottom"/>
            <w:shd w:val="clear" w:color="auto" w:fill="CFF0FC"/>
          </w:tcPr>
          <w:p>
            <w:pPr>
              <w:jc w:val="right"/>
              <w:spacing w:after="0" w:line="105" w:lineRule="exact"/>
              <w:rPr>
                <w:sz w:val="20"/>
                <w:szCs w:val="20"/>
                <w:color w:val="auto"/>
              </w:rPr>
            </w:pPr>
            <w:r>
              <w:rPr>
                <w:rFonts w:ascii="Times New Roman" w:cs="Times New Roman" w:eastAsia="Times New Roman" w:hAnsi="Times New Roman"/>
                <w:sz w:val="12"/>
                <w:szCs w:val="12"/>
                <w:color w:val="auto"/>
              </w:rPr>
              <w:t>44,360</w:t>
            </w:r>
          </w:p>
        </w:tc>
        <w:tc>
          <w:tcPr>
            <w:tcW w:w="160" w:type="dxa"/>
            <w:vAlign w:val="bottom"/>
            <w:shd w:val="clear" w:color="auto" w:fill="CFF0FC"/>
          </w:tcPr>
          <w:p>
            <w:pPr>
              <w:spacing w:after="0"/>
              <w:rPr>
                <w:sz w:val="9"/>
                <w:szCs w:val="9"/>
                <w:color w:val="auto"/>
              </w:rPr>
            </w:pPr>
          </w:p>
        </w:tc>
        <w:tc>
          <w:tcPr>
            <w:tcW w:w="140" w:type="dxa"/>
            <w:vAlign w:val="bottom"/>
            <w:shd w:val="clear" w:color="auto" w:fill="CFF0FC"/>
          </w:tcPr>
          <w:p>
            <w:pPr>
              <w:spacing w:after="0" w:line="105" w:lineRule="exact"/>
              <w:rPr>
                <w:sz w:val="20"/>
                <w:szCs w:val="20"/>
                <w:color w:val="auto"/>
              </w:rPr>
            </w:pPr>
            <w:r>
              <w:rPr>
                <w:rFonts w:ascii="Times New Roman" w:cs="Times New Roman" w:eastAsia="Times New Roman" w:hAnsi="Times New Roman"/>
                <w:sz w:val="12"/>
                <w:szCs w:val="12"/>
                <w:color w:val="auto"/>
              </w:rPr>
              <w:t>$</w:t>
            </w:r>
          </w:p>
        </w:tc>
        <w:tc>
          <w:tcPr>
            <w:tcW w:w="540" w:type="dxa"/>
            <w:vAlign w:val="bottom"/>
            <w:gridSpan w:val="2"/>
            <w:shd w:val="clear" w:color="auto" w:fill="CFF0FC"/>
          </w:tcPr>
          <w:p>
            <w:pPr>
              <w:jc w:val="right"/>
              <w:ind w:right="100"/>
              <w:spacing w:after="0" w:line="105" w:lineRule="exact"/>
              <w:rPr>
                <w:sz w:val="20"/>
                <w:szCs w:val="20"/>
                <w:color w:val="auto"/>
              </w:rPr>
            </w:pPr>
            <w:r>
              <w:rPr>
                <w:rFonts w:ascii="Times New Roman" w:cs="Times New Roman" w:eastAsia="Times New Roman" w:hAnsi="Times New Roman"/>
                <w:sz w:val="12"/>
                <w:szCs w:val="12"/>
                <w:color w:val="auto"/>
              </w:rPr>
              <w:t>—</w:t>
            </w:r>
          </w:p>
        </w:tc>
      </w:tr>
      <w:tr>
        <w:trPr>
          <w:trHeight w:val="129"/>
        </w:trPr>
        <w:tc>
          <w:tcPr>
            <w:tcW w:w="20" w:type="dxa"/>
            <w:vAlign w:val="bottom"/>
          </w:tcPr>
          <w:p>
            <w:pPr>
              <w:spacing w:after="0"/>
              <w:rPr>
                <w:sz w:val="11"/>
                <w:szCs w:val="11"/>
                <w:color w:val="auto"/>
              </w:rPr>
            </w:pPr>
          </w:p>
        </w:tc>
        <w:tc>
          <w:tcPr>
            <w:tcW w:w="1980" w:type="dxa"/>
            <w:vAlign w:val="bottom"/>
            <w:shd w:val="clear" w:color="auto" w:fill="CFF0FC"/>
          </w:tcPr>
          <w:p>
            <w:pPr>
              <w:ind w:left="60"/>
              <w:spacing w:after="0" w:line="129" w:lineRule="exact"/>
              <w:rPr>
                <w:sz w:val="20"/>
                <w:szCs w:val="20"/>
                <w:color w:val="auto"/>
              </w:rPr>
            </w:pPr>
            <w:r>
              <w:rPr>
                <w:rFonts w:ascii="Times New Roman" w:cs="Times New Roman" w:eastAsia="Times New Roman" w:hAnsi="Times New Roman"/>
                <w:sz w:val="12"/>
                <w:szCs w:val="12"/>
                <w:color w:val="auto"/>
              </w:rPr>
              <w:t>Tranche B-6 - payable to lenders at</w:t>
            </w:r>
          </w:p>
        </w:tc>
        <w:tc>
          <w:tcPr>
            <w:tcW w:w="8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r>
      <w:tr>
        <w:trPr>
          <w:trHeight w:val="144"/>
        </w:trPr>
        <w:tc>
          <w:tcPr>
            <w:tcW w:w="20" w:type="dxa"/>
            <w:vAlign w:val="bottom"/>
          </w:tcPr>
          <w:p>
            <w:pPr>
              <w:spacing w:after="0"/>
              <w:rPr>
                <w:sz w:val="12"/>
                <w:szCs w:val="12"/>
                <w:color w:val="auto"/>
              </w:rPr>
            </w:pPr>
          </w:p>
        </w:tc>
        <w:tc>
          <w:tcPr>
            <w:tcW w:w="19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rPr>
              <w:t>SOFR plus applicable margin</w:t>
            </w:r>
          </w:p>
        </w:tc>
        <w:tc>
          <w:tcPr>
            <w:tcW w:w="8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r>
      <w:tr>
        <w:trPr>
          <w:trHeight w:val="114"/>
        </w:trPr>
        <w:tc>
          <w:tcPr>
            <w:tcW w:w="20" w:type="dxa"/>
            <w:vAlign w:val="bottom"/>
          </w:tcPr>
          <w:p>
            <w:pPr>
              <w:spacing w:after="0"/>
              <w:rPr>
                <w:sz w:val="9"/>
                <w:szCs w:val="9"/>
                <w:color w:val="auto"/>
              </w:rPr>
            </w:pPr>
          </w:p>
        </w:tc>
        <w:tc>
          <w:tcPr>
            <w:tcW w:w="1980" w:type="dxa"/>
            <w:vAlign w:val="bottom"/>
          </w:tcPr>
          <w:p>
            <w:pPr>
              <w:spacing w:after="0" w:line="114" w:lineRule="exact"/>
              <w:rPr>
                <w:sz w:val="20"/>
                <w:szCs w:val="20"/>
                <w:color w:val="auto"/>
              </w:rPr>
            </w:pPr>
            <w:r>
              <w:rPr>
                <w:rFonts w:ascii="Times New Roman" w:cs="Times New Roman" w:eastAsia="Times New Roman" w:hAnsi="Times New Roman"/>
                <w:sz w:val="12"/>
                <w:szCs w:val="12"/>
                <w:color w:val="auto"/>
              </w:rPr>
              <w:t>First Lien Incremental Term Loan</w:t>
            </w:r>
          </w:p>
        </w:tc>
        <w:tc>
          <w:tcPr>
            <w:tcW w:w="1060" w:type="dxa"/>
            <w:vAlign w:val="bottom"/>
            <w:gridSpan w:val="2"/>
          </w:tcPr>
          <w:p>
            <w:pPr>
              <w:jc w:val="right"/>
              <w:ind w:right="220"/>
              <w:spacing w:after="0" w:line="114" w:lineRule="exact"/>
              <w:rPr>
                <w:sz w:val="20"/>
                <w:szCs w:val="20"/>
                <w:color w:val="auto"/>
              </w:rPr>
            </w:pPr>
            <w:r>
              <w:rPr>
                <w:rFonts w:ascii="Times New Roman" w:cs="Times New Roman" w:eastAsia="Times New Roman" w:hAnsi="Times New Roman"/>
                <w:sz w:val="12"/>
                <w:szCs w:val="12"/>
                <w:color w:val="auto"/>
              </w:rPr>
              <w:t>—</w:t>
            </w:r>
          </w:p>
        </w:tc>
        <w:tc>
          <w:tcPr>
            <w:tcW w:w="980" w:type="dxa"/>
            <w:vAlign w:val="bottom"/>
            <w:gridSpan w:val="2"/>
          </w:tcPr>
          <w:p>
            <w:pPr>
              <w:jc w:val="right"/>
              <w:ind w:right="80"/>
              <w:spacing w:after="0" w:line="114" w:lineRule="exact"/>
              <w:rPr>
                <w:sz w:val="20"/>
                <w:szCs w:val="20"/>
                <w:color w:val="auto"/>
              </w:rPr>
            </w:pPr>
            <w:r>
              <w:rPr>
                <w:rFonts w:ascii="Times New Roman" w:cs="Times New Roman" w:eastAsia="Times New Roman" w:hAnsi="Times New Roman"/>
                <w:sz w:val="12"/>
                <w:szCs w:val="12"/>
                <w:color w:val="auto"/>
              </w:rPr>
              <w:t>6.22%</w:t>
            </w:r>
          </w:p>
        </w:tc>
        <w:tc>
          <w:tcPr>
            <w:tcW w:w="180" w:type="dxa"/>
            <w:vAlign w:val="bottom"/>
          </w:tcPr>
          <w:p>
            <w:pPr>
              <w:spacing w:after="0"/>
              <w:rPr>
                <w:sz w:val="9"/>
                <w:szCs w:val="9"/>
                <w:color w:val="auto"/>
              </w:rPr>
            </w:pPr>
          </w:p>
        </w:tc>
        <w:tc>
          <w:tcPr>
            <w:tcW w:w="600" w:type="dxa"/>
            <w:vAlign w:val="bottom"/>
          </w:tcPr>
          <w:p>
            <w:pPr>
              <w:jc w:val="right"/>
              <w:spacing w:after="0" w:line="114"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jc w:val="right"/>
              <w:spacing w:after="0" w:line="114" w:lineRule="exact"/>
              <w:rPr>
                <w:sz w:val="20"/>
                <w:szCs w:val="20"/>
                <w:color w:val="auto"/>
              </w:rPr>
            </w:pPr>
            <w:r>
              <w:rPr>
                <w:rFonts w:ascii="Times New Roman" w:cs="Times New Roman" w:eastAsia="Times New Roman" w:hAnsi="Times New Roman"/>
                <w:sz w:val="12"/>
                <w:szCs w:val="12"/>
                <w:color w:val="auto"/>
              </w:rPr>
              <w:t>2,521,255</w:t>
            </w: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jc w:val="right"/>
              <w:spacing w:after="0" w:line="114" w:lineRule="exact"/>
              <w:rPr>
                <w:sz w:val="20"/>
                <w:szCs w:val="20"/>
                <w:color w:val="auto"/>
              </w:rPr>
            </w:pPr>
            <w:r>
              <w:rPr>
                <w:rFonts w:ascii="Times New Roman" w:cs="Times New Roman" w:eastAsia="Times New Roman" w:hAnsi="Times New Roman"/>
                <w:sz w:val="12"/>
                <w:szCs w:val="12"/>
                <w:color w:val="auto"/>
              </w:rPr>
              <w:t>63,091</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jc w:val="right"/>
              <w:spacing w:after="0" w:line="114" w:lineRule="exact"/>
              <w:rPr>
                <w:sz w:val="20"/>
                <w:szCs w:val="20"/>
                <w:color w:val="auto"/>
              </w:rPr>
            </w:pPr>
            <w:r>
              <w:rPr>
                <w:rFonts w:ascii="Times New Roman" w:cs="Times New Roman" w:eastAsia="Times New Roman" w:hAnsi="Times New Roman"/>
                <w:sz w:val="12"/>
                <w:szCs w:val="12"/>
                <w:color w:val="auto"/>
              </w:rPr>
              <w:t>146,482</w:t>
            </w:r>
          </w:p>
        </w:tc>
        <w:tc>
          <w:tcPr>
            <w:tcW w:w="80" w:type="dxa"/>
            <w:vAlign w:val="bottom"/>
          </w:tcPr>
          <w:p>
            <w:pPr>
              <w:spacing w:after="0"/>
              <w:rPr>
                <w:sz w:val="9"/>
                <w:szCs w:val="9"/>
                <w:color w:val="auto"/>
              </w:rPr>
            </w:pPr>
          </w:p>
        </w:tc>
      </w:tr>
      <w:tr>
        <w:trPr>
          <w:trHeight w:val="129"/>
        </w:trPr>
        <w:tc>
          <w:tcPr>
            <w:tcW w:w="20" w:type="dxa"/>
            <w:vAlign w:val="bottom"/>
          </w:tcPr>
          <w:p>
            <w:pPr>
              <w:spacing w:after="0"/>
              <w:rPr>
                <w:sz w:val="11"/>
                <w:szCs w:val="11"/>
                <w:color w:val="auto"/>
              </w:rPr>
            </w:pPr>
          </w:p>
        </w:tc>
        <w:tc>
          <w:tcPr>
            <w:tcW w:w="1980" w:type="dxa"/>
            <w:vAlign w:val="bottom"/>
          </w:tcPr>
          <w:p>
            <w:pPr>
              <w:ind w:left="60"/>
              <w:spacing w:after="0" w:line="129" w:lineRule="exact"/>
              <w:rPr>
                <w:sz w:val="20"/>
                <w:szCs w:val="20"/>
                <w:color w:val="auto"/>
              </w:rPr>
            </w:pPr>
            <w:r>
              <w:rPr>
                <w:rFonts w:ascii="Times New Roman" w:cs="Times New Roman" w:eastAsia="Times New Roman" w:hAnsi="Times New Roman"/>
                <w:sz w:val="12"/>
                <w:szCs w:val="12"/>
                <w:color w:val="auto"/>
              </w:rPr>
              <w:t>Tranche B-5 - payable to lenders at</w:t>
            </w: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4"/>
        </w:trPr>
        <w:tc>
          <w:tcPr>
            <w:tcW w:w="20" w:type="dxa"/>
            <w:vAlign w:val="bottom"/>
          </w:tcPr>
          <w:p>
            <w:pPr>
              <w:spacing w:after="0"/>
              <w:rPr>
                <w:sz w:val="12"/>
                <w:szCs w:val="12"/>
                <w:color w:val="auto"/>
              </w:rPr>
            </w:pPr>
          </w:p>
        </w:tc>
        <w:tc>
          <w:tcPr>
            <w:tcW w:w="19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SOFR plus applicable margin</w:t>
            </w: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14"/>
        </w:trPr>
        <w:tc>
          <w:tcPr>
            <w:tcW w:w="20" w:type="dxa"/>
            <w:vAlign w:val="bottom"/>
          </w:tcPr>
          <w:p>
            <w:pPr>
              <w:spacing w:after="0"/>
              <w:rPr>
                <w:sz w:val="9"/>
                <w:szCs w:val="9"/>
                <w:color w:val="auto"/>
              </w:rPr>
            </w:pPr>
          </w:p>
        </w:tc>
        <w:tc>
          <w:tcPr>
            <w:tcW w:w="1980" w:type="dxa"/>
            <w:vAlign w:val="bottom"/>
            <w:shd w:val="clear" w:color="auto" w:fill="CFF0FC"/>
          </w:tcPr>
          <w:p>
            <w:pPr>
              <w:spacing w:after="0" w:line="114" w:lineRule="exact"/>
              <w:rPr>
                <w:sz w:val="20"/>
                <w:szCs w:val="20"/>
                <w:color w:val="auto"/>
              </w:rPr>
            </w:pPr>
            <w:r>
              <w:rPr>
                <w:rFonts w:ascii="Times New Roman" w:cs="Times New Roman" w:eastAsia="Times New Roman" w:hAnsi="Times New Roman"/>
                <w:sz w:val="12"/>
                <w:szCs w:val="12"/>
                <w:color w:val="auto"/>
              </w:rPr>
              <w:t>Revolving Credit Loans - payable to</w:t>
            </w:r>
          </w:p>
        </w:tc>
        <w:tc>
          <w:tcPr>
            <w:tcW w:w="1060" w:type="dxa"/>
            <w:vAlign w:val="bottom"/>
            <w:gridSpan w:val="2"/>
            <w:shd w:val="clear" w:color="auto" w:fill="CFF0FC"/>
          </w:tcPr>
          <w:p>
            <w:pPr>
              <w:jc w:val="right"/>
              <w:ind w:right="100"/>
              <w:spacing w:after="0" w:line="114" w:lineRule="exact"/>
              <w:rPr>
                <w:sz w:val="20"/>
                <w:szCs w:val="20"/>
                <w:color w:val="auto"/>
              </w:rPr>
            </w:pPr>
            <w:r>
              <w:rPr>
                <w:rFonts w:ascii="Times New Roman" w:cs="Times New Roman" w:eastAsia="Times New Roman" w:hAnsi="Times New Roman"/>
                <w:sz w:val="12"/>
                <w:szCs w:val="12"/>
                <w:color w:val="auto"/>
              </w:rPr>
              <w:t>5.69%</w:t>
            </w:r>
          </w:p>
        </w:tc>
        <w:tc>
          <w:tcPr>
            <w:tcW w:w="980" w:type="dxa"/>
            <w:vAlign w:val="bottom"/>
            <w:gridSpan w:val="2"/>
            <w:shd w:val="clear" w:color="auto" w:fill="CFF0FC"/>
          </w:tcPr>
          <w:p>
            <w:pPr>
              <w:jc w:val="right"/>
              <w:ind w:right="80"/>
              <w:spacing w:after="0" w:line="114" w:lineRule="exact"/>
              <w:rPr>
                <w:sz w:val="20"/>
                <w:szCs w:val="20"/>
                <w:color w:val="auto"/>
              </w:rPr>
            </w:pPr>
            <w:r>
              <w:rPr>
                <w:rFonts w:ascii="Times New Roman" w:cs="Times New Roman" w:eastAsia="Times New Roman" w:hAnsi="Times New Roman"/>
                <w:sz w:val="12"/>
                <w:szCs w:val="12"/>
                <w:color w:val="auto"/>
              </w:rPr>
              <w:t>6.47%</w:t>
            </w:r>
          </w:p>
        </w:tc>
        <w:tc>
          <w:tcPr>
            <w:tcW w:w="180" w:type="dxa"/>
            <w:vAlign w:val="bottom"/>
            <w:shd w:val="clear" w:color="auto" w:fill="CFF0FC"/>
          </w:tcPr>
          <w:p>
            <w:pPr>
              <w:spacing w:after="0"/>
              <w:rPr>
                <w:sz w:val="9"/>
                <w:szCs w:val="9"/>
                <w:color w:val="auto"/>
              </w:rPr>
            </w:pPr>
          </w:p>
        </w:tc>
        <w:tc>
          <w:tcPr>
            <w:tcW w:w="600" w:type="dxa"/>
            <w:vAlign w:val="bottom"/>
            <w:shd w:val="clear" w:color="auto" w:fill="CFF0FC"/>
          </w:tcPr>
          <w:p>
            <w:pPr>
              <w:jc w:val="right"/>
              <w:spacing w:after="0" w:line="114"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60" w:type="dxa"/>
            <w:vAlign w:val="bottom"/>
            <w:shd w:val="clear" w:color="auto" w:fill="CFF0FC"/>
          </w:tcPr>
          <w:p>
            <w:pPr>
              <w:jc w:val="right"/>
              <w:spacing w:after="0" w:line="114"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960" w:type="dxa"/>
            <w:vAlign w:val="bottom"/>
            <w:gridSpan w:val="2"/>
            <w:shd w:val="clear" w:color="auto" w:fill="CFF0FC"/>
          </w:tcPr>
          <w:p>
            <w:pPr>
              <w:jc w:val="right"/>
              <w:ind w:right="160"/>
              <w:spacing w:after="0" w:line="114"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FF0FC"/>
          </w:tcPr>
          <w:p>
            <w:pPr>
              <w:spacing w:after="0"/>
              <w:rPr>
                <w:sz w:val="9"/>
                <w:szCs w:val="9"/>
                <w:color w:val="auto"/>
              </w:rPr>
            </w:pPr>
          </w:p>
        </w:tc>
        <w:tc>
          <w:tcPr>
            <w:tcW w:w="540" w:type="dxa"/>
            <w:vAlign w:val="bottom"/>
            <w:gridSpan w:val="2"/>
            <w:shd w:val="clear" w:color="auto" w:fill="CFF0FC"/>
          </w:tcPr>
          <w:p>
            <w:pPr>
              <w:jc w:val="right"/>
              <w:ind w:right="100"/>
              <w:spacing w:after="0" w:line="114" w:lineRule="exact"/>
              <w:rPr>
                <w:sz w:val="20"/>
                <w:szCs w:val="20"/>
                <w:color w:val="auto"/>
              </w:rPr>
            </w:pPr>
            <w:r>
              <w:rPr>
                <w:rFonts w:ascii="Times New Roman" w:cs="Times New Roman" w:eastAsia="Times New Roman" w:hAnsi="Times New Roman"/>
                <w:sz w:val="12"/>
                <w:szCs w:val="12"/>
                <w:color w:val="auto"/>
              </w:rPr>
              <w:t>—</w:t>
            </w:r>
          </w:p>
        </w:tc>
      </w:tr>
      <w:tr>
        <w:trPr>
          <w:trHeight w:val="129"/>
        </w:trPr>
        <w:tc>
          <w:tcPr>
            <w:tcW w:w="20" w:type="dxa"/>
            <w:vAlign w:val="bottom"/>
          </w:tcPr>
          <w:p>
            <w:pPr>
              <w:spacing w:after="0"/>
              <w:rPr>
                <w:sz w:val="11"/>
                <w:szCs w:val="11"/>
                <w:color w:val="auto"/>
              </w:rPr>
            </w:pPr>
          </w:p>
        </w:tc>
        <w:tc>
          <w:tcPr>
            <w:tcW w:w="1980" w:type="dxa"/>
            <w:vAlign w:val="bottom"/>
            <w:shd w:val="clear" w:color="auto" w:fill="CFF0FC"/>
          </w:tcPr>
          <w:p>
            <w:pPr>
              <w:ind w:left="100"/>
              <w:spacing w:after="0" w:line="129" w:lineRule="exact"/>
              <w:rPr>
                <w:sz w:val="20"/>
                <w:szCs w:val="20"/>
                <w:color w:val="auto"/>
              </w:rPr>
            </w:pPr>
            <w:r>
              <w:rPr>
                <w:rFonts w:ascii="Times New Roman" w:cs="Times New Roman" w:eastAsia="Times New Roman" w:hAnsi="Times New Roman"/>
                <w:sz w:val="12"/>
                <w:szCs w:val="12"/>
                <w:color w:val="auto"/>
              </w:rPr>
              <w:t>lenders at SOFR plus applicable</w:t>
            </w:r>
          </w:p>
        </w:tc>
        <w:tc>
          <w:tcPr>
            <w:tcW w:w="8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r>
      <w:tr>
        <w:trPr>
          <w:trHeight w:val="144"/>
        </w:trPr>
        <w:tc>
          <w:tcPr>
            <w:tcW w:w="20" w:type="dxa"/>
            <w:vAlign w:val="bottom"/>
          </w:tcPr>
          <w:p>
            <w:pPr>
              <w:spacing w:after="0"/>
              <w:rPr>
                <w:sz w:val="12"/>
                <w:szCs w:val="12"/>
                <w:color w:val="auto"/>
              </w:rPr>
            </w:pPr>
          </w:p>
        </w:tc>
        <w:tc>
          <w:tcPr>
            <w:tcW w:w="19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2"/>
                <w:szCs w:val="12"/>
                <w:color w:val="auto"/>
              </w:rPr>
              <w:t>margin</w:t>
            </w:r>
          </w:p>
        </w:tc>
        <w:tc>
          <w:tcPr>
            <w:tcW w:w="8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r>
      <w:tr>
        <w:trPr>
          <w:trHeight w:val="114"/>
        </w:trPr>
        <w:tc>
          <w:tcPr>
            <w:tcW w:w="20" w:type="dxa"/>
            <w:vAlign w:val="bottom"/>
          </w:tcPr>
          <w:p>
            <w:pPr>
              <w:spacing w:after="0"/>
              <w:rPr>
                <w:sz w:val="9"/>
                <w:szCs w:val="9"/>
                <w:color w:val="auto"/>
              </w:rPr>
            </w:pPr>
          </w:p>
        </w:tc>
        <w:tc>
          <w:tcPr>
            <w:tcW w:w="1980" w:type="dxa"/>
            <w:vAlign w:val="bottom"/>
          </w:tcPr>
          <w:p>
            <w:pPr>
              <w:spacing w:after="0" w:line="114" w:lineRule="exact"/>
              <w:rPr>
                <w:sz w:val="20"/>
                <w:szCs w:val="20"/>
                <w:color w:val="auto"/>
              </w:rPr>
            </w:pPr>
            <w:r>
              <w:rPr>
                <w:rFonts w:ascii="Times New Roman" w:cs="Times New Roman" w:eastAsia="Times New Roman" w:hAnsi="Times New Roman"/>
                <w:sz w:val="12"/>
                <w:szCs w:val="12"/>
                <w:color w:val="auto"/>
              </w:rPr>
              <w:t>Swingline/Base Rate - payable to</w:t>
            </w:r>
          </w:p>
        </w:tc>
        <w:tc>
          <w:tcPr>
            <w:tcW w:w="1060" w:type="dxa"/>
            <w:vAlign w:val="bottom"/>
            <w:gridSpan w:val="2"/>
          </w:tcPr>
          <w:p>
            <w:pPr>
              <w:jc w:val="right"/>
              <w:ind w:right="100"/>
              <w:spacing w:after="0" w:line="114" w:lineRule="exact"/>
              <w:rPr>
                <w:sz w:val="20"/>
                <w:szCs w:val="20"/>
                <w:color w:val="auto"/>
              </w:rPr>
            </w:pPr>
            <w:r>
              <w:rPr>
                <w:rFonts w:ascii="Times New Roman" w:cs="Times New Roman" w:eastAsia="Times New Roman" w:hAnsi="Times New Roman"/>
                <w:sz w:val="12"/>
                <w:szCs w:val="12"/>
                <w:color w:val="auto"/>
              </w:rPr>
              <w:t>8.00%</w:t>
            </w:r>
          </w:p>
        </w:tc>
        <w:tc>
          <w:tcPr>
            <w:tcW w:w="980" w:type="dxa"/>
            <w:vAlign w:val="bottom"/>
            <w:gridSpan w:val="2"/>
          </w:tcPr>
          <w:p>
            <w:pPr>
              <w:jc w:val="right"/>
              <w:ind w:right="80"/>
              <w:spacing w:after="0" w:line="114" w:lineRule="exact"/>
              <w:rPr>
                <w:sz w:val="20"/>
                <w:szCs w:val="20"/>
                <w:color w:val="auto"/>
              </w:rPr>
            </w:pPr>
            <w:r>
              <w:rPr>
                <w:rFonts w:ascii="Times New Roman" w:cs="Times New Roman" w:eastAsia="Times New Roman" w:hAnsi="Times New Roman"/>
                <w:sz w:val="12"/>
                <w:szCs w:val="12"/>
                <w:color w:val="auto"/>
              </w:rPr>
              <w:t>8.50%</w:t>
            </w:r>
          </w:p>
        </w:tc>
        <w:tc>
          <w:tcPr>
            <w:tcW w:w="180" w:type="dxa"/>
            <w:vAlign w:val="bottom"/>
          </w:tcPr>
          <w:p>
            <w:pPr>
              <w:spacing w:after="0"/>
              <w:rPr>
                <w:sz w:val="9"/>
                <w:szCs w:val="9"/>
                <w:color w:val="auto"/>
              </w:rPr>
            </w:pPr>
          </w:p>
        </w:tc>
        <w:tc>
          <w:tcPr>
            <w:tcW w:w="600" w:type="dxa"/>
            <w:vAlign w:val="bottom"/>
          </w:tcPr>
          <w:p>
            <w:pPr>
              <w:jc w:val="right"/>
              <w:spacing w:after="0" w:line="114"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jc w:val="right"/>
              <w:spacing w:after="0" w:line="114"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jc w:val="right"/>
              <w:spacing w:after="0" w:line="114" w:lineRule="exact"/>
              <w:rPr>
                <w:sz w:val="20"/>
                <w:szCs w:val="20"/>
                <w:color w:val="auto"/>
              </w:rPr>
            </w:pPr>
            <w:r>
              <w:rPr>
                <w:rFonts w:ascii="Times New Roman" w:cs="Times New Roman" w:eastAsia="Times New Roman" w:hAnsi="Times New Roman"/>
                <w:sz w:val="12"/>
                <w:szCs w:val="12"/>
                <w:color w:val="auto"/>
              </w:rPr>
              <w:t>2,476</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jc w:val="right"/>
              <w:spacing w:after="0" w:line="114" w:lineRule="exact"/>
              <w:rPr>
                <w:sz w:val="20"/>
                <w:szCs w:val="20"/>
                <w:color w:val="auto"/>
              </w:rPr>
            </w:pPr>
            <w:r>
              <w:rPr>
                <w:rFonts w:ascii="Times New Roman" w:cs="Times New Roman" w:eastAsia="Times New Roman" w:hAnsi="Times New Roman"/>
                <w:sz w:val="12"/>
                <w:szCs w:val="12"/>
                <w:color w:val="auto"/>
              </w:rPr>
              <w:t>6,996</w:t>
            </w:r>
          </w:p>
        </w:tc>
        <w:tc>
          <w:tcPr>
            <w:tcW w:w="80" w:type="dxa"/>
            <w:vAlign w:val="bottom"/>
          </w:tcPr>
          <w:p>
            <w:pPr>
              <w:spacing w:after="0"/>
              <w:rPr>
                <w:sz w:val="9"/>
                <w:szCs w:val="9"/>
                <w:color w:val="auto"/>
              </w:rPr>
            </w:pPr>
          </w:p>
        </w:tc>
      </w:tr>
      <w:tr>
        <w:trPr>
          <w:trHeight w:val="129"/>
        </w:trPr>
        <w:tc>
          <w:tcPr>
            <w:tcW w:w="20" w:type="dxa"/>
            <w:vAlign w:val="bottom"/>
          </w:tcPr>
          <w:p>
            <w:pPr>
              <w:spacing w:after="0"/>
              <w:rPr>
                <w:sz w:val="11"/>
                <w:szCs w:val="11"/>
                <w:color w:val="auto"/>
              </w:rPr>
            </w:pPr>
          </w:p>
        </w:tc>
        <w:tc>
          <w:tcPr>
            <w:tcW w:w="1980" w:type="dxa"/>
            <w:vAlign w:val="bottom"/>
          </w:tcPr>
          <w:p>
            <w:pPr>
              <w:ind w:left="100"/>
              <w:spacing w:after="0" w:line="129" w:lineRule="exact"/>
              <w:rPr>
                <w:sz w:val="20"/>
                <w:szCs w:val="20"/>
                <w:color w:val="auto"/>
              </w:rPr>
            </w:pPr>
            <w:r>
              <w:rPr>
                <w:rFonts w:ascii="Times New Roman" w:cs="Times New Roman" w:eastAsia="Times New Roman" w:hAnsi="Times New Roman"/>
                <w:sz w:val="12"/>
                <w:szCs w:val="12"/>
                <w:color w:val="auto"/>
              </w:rPr>
              <w:t>lenders at ABR plus applicable</w:t>
            </w: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4"/>
        </w:trPr>
        <w:tc>
          <w:tcPr>
            <w:tcW w:w="20" w:type="dxa"/>
            <w:vAlign w:val="bottom"/>
          </w:tcPr>
          <w:p>
            <w:pPr>
              <w:spacing w:after="0"/>
              <w:rPr>
                <w:sz w:val="12"/>
                <w:szCs w:val="12"/>
                <w:color w:val="auto"/>
              </w:rPr>
            </w:pPr>
          </w:p>
        </w:tc>
        <w:tc>
          <w:tcPr>
            <w:tcW w:w="198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margin</w:t>
            </w: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29"/>
        </w:trPr>
        <w:tc>
          <w:tcPr>
            <w:tcW w:w="20" w:type="dxa"/>
            <w:vAlign w:val="bottom"/>
          </w:tcPr>
          <w:p>
            <w:pPr>
              <w:spacing w:after="0"/>
              <w:rPr>
                <w:sz w:val="11"/>
                <w:szCs w:val="11"/>
                <w:color w:val="auto"/>
              </w:rPr>
            </w:pPr>
          </w:p>
        </w:tc>
        <w:tc>
          <w:tcPr>
            <w:tcW w:w="198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2"/>
                <w:szCs w:val="12"/>
                <w:color w:val="auto"/>
              </w:rPr>
              <w:t>Amortizing Notes</w:t>
            </w:r>
          </w:p>
        </w:tc>
        <w:tc>
          <w:tcPr>
            <w:tcW w:w="8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color w:val="auto"/>
              </w:rPr>
              <w:t>13,010</w:t>
            </w: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color w:val="auto"/>
              </w:rPr>
              <w:t>31,360</w:t>
            </w:r>
          </w:p>
        </w:tc>
        <w:tc>
          <w:tcPr>
            <w:tcW w:w="1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color w:val="auto"/>
              </w:rPr>
              <w:t>1,606</w:t>
            </w:r>
          </w:p>
        </w:tc>
        <w:tc>
          <w:tcPr>
            <w:tcW w:w="1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color w:val="auto"/>
              </w:rPr>
              <w:t>4,183</w:t>
            </w:r>
          </w:p>
        </w:tc>
        <w:tc>
          <w:tcPr>
            <w:tcW w:w="80" w:type="dxa"/>
            <w:vAlign w:val="bottom"/>
            <w:shd w:val="clear" w:color="auto" w:fill="CFF0FC"/>
          </w:tcPr>
          <w:p>
            <w:pPr>
              <w:spacing w:after="0"/>
              <w:rPr>
                <w:sz w:val="11"/>
                <w:szCs w:val="11"/>
                <w:color w:val="auto"/>
              </w:rPr>
            </w:pPr>
          </w:p>
        </w:tc>
      </w:tr>
      <w:tr>
        <w:trPr>
          <w:trHeight w:val="129"/>
        </w:trPr>
        <w:tc>
          <w:tcPr>
            <w:tcW w:w="20" w:type="dxa"/>
            <w:vAlign w:val="bottom"/>
          </w:tcPr>
          <w:p>
            <w:pPr>
              <w:spacing w:after="0"/>
              <w:rPr>
                <w:sz w:val="11"/>
                <w:szCs w:val="11"/>
                <w:color w:val="auto"/>
              </w:rPr>
            </w:pPr>
          </w:p>
        </w:tc>
        <w:tc>
          <w:tcPr>
            <w:tcW w:w="1980" w:type="dxa"/>
            <w:vAlign w:val="bottom"/>
          </w:tcPr>
          <w:p>
            <w:pPr>
              <w:spacing w:after="0" w:line="129" w:lineRule="exact"/>
              <w:rPr>
                <w:sz w:val="20"/>
                <w:szCs w:val="20"/>
                <w:color w:val="auto"/>
              </w:rPr>
            </w:pPr>
            <w:r>
              <w:rPr>
                <w:rFonts w:ascii="Times New Roman" w:cs="Times New Roman" w:eastAsia="Times New Roman" w:hAnsi="Times New Roman"/>
                <w:sz w:val="12"/>
                <w:szCs w:val="12"/>
                <w:color w:val="auto"/>
              </w:rPr>
              <w:t>Notes payable and other</w:t>
            </w: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15,299</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17,129</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642</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886</w:t>
            </w:r>
          </w:p>
        </w:tc>
        <w:tc>
          <w:tcPr>
            <w:tcW w:w="80" w:type="dxa"/>
            <w:vAlign w:val="bottom"/>
          </w:tcPr>
          <w:p>
            <w:pPr>
              <w:spacing w:after="0"/>
              <w:rPr>
                <w:sz w:val="11"/>
                <w:szCs w:val="11"/>
                <w:color w:val="auto"/>
              </w:rPr>
            </w:pPr>
          </w:p>
        </w:tc>
      </w:tr>
      <w:tr>
        <w:trPr>
          <w:trHeight w:val="114"/>
        </w:trPr>
        <w:tc>
          <w:tcPr>
            <w:tcW w:w="20" w:type="dxa"/>
            <w:vAlign w:val="bottom"/>
          </w:tcPr>
          <w:p>
            <w:pPr>
              <w:spacing w:after="0"/>
              <w:rPr>
                <w:sz w:val="9"/>
                <w:szCs w:val="9"/>
                <w:color w:val="auto"/>
              </w:rPr>
            </w:pPr>
          </w:p>
        </w:tc>
        <w:tc>
          <w:tcPr>
            <w:tcW w:w="1980" w:type="dxa"/>
            <w:vAlign w:val="bottom"/>
            <w:shd w:val="clear" w:color="auto" w:fill="CFF0FC"/>
          </w:tcPr>
          <w:p>
            <w:pPr>
              <w:spacing w:after="0" w:line="114" w:lineRule="exact"/>
              <w:rPr>
                <w:sz w:val="20"/>
                <w:szCs w:val="20"/>
                <w:color w:val="auto"/>
              </w:rPr>
            </w:pPr>
            <w:r>
              <w:rPr>
                <w:rFonts w:ascii="Times New Roman" w:cs="Times New Roman" w:eastAsia="Times New Roman" w:hAnsi="Times New Roman"/>
                <w:sz w:val="12"/>
                <w:szCs w:val="12"/>
                <w:color w:val="auto"/>
              </w:rPr>
              <w:t>Amortization of deferred financing</w:t>
            </w:r>
          </w:p>
        </w:tc>
        <w:tc>
          <w:tcPr>
            <w:tcW w:w="8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600" w:type="dxa"/>
            <w:vAlign w:val="bottom"/>
            <w:shd w:val="clear" w:color="auto" w:fill="CFF0FC"/>
          </w:tcPr>
          <w:p>
            <w:pPr>
              <w:jc w:val="right"/>
              <w:spacing w:after="0" w:line="114"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60" w:type="dxa"/>
            <w:vAlign w:val="bottom"/>
            <w:shd w:val="clear" w:color="auto" w:fill="CFF0FC"/>
          </w:tcPr>
          <w:p>
            <w:pPr>
              <w:jc w:val="right"/>
              <w:spacing w:after="0" w:line="114"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960" w:type="dxa"/>
            <w:vAlign w:val="bottom"/>
            <w:gridSpan w:val="2"/>
            <w:shd w:val="clear" w:color="auto" w:fill="CFF0FC"/>
          </w:tcPr>
          <w:p>
            <w:pPr>
              <w:jc w:val="right"/>
              <w:ind w:right="120"/>
              <w:spacing w:after="0" w:line="114" w:lineRule="exact"/>
              <w:rPr>
                <w:sz w:val="20"/>
                <w:szCs w:val="20"/>
                <w:color w:val="auto"/>
              </w:rPr>
            </w:pPr>
            <w:r>
              <w:rPr>
                <w:rFonts w:ascii="Times New Roman" w:cs="Times New Roman" w:eastAsia="Times New Roman" w:hAnsi="Times New Roman"/>
                <w:sz w:val="12"/>
                <w:szCs w:val="12"/>
                <w:color w:val="auto"/>
              </w:rPr>
              <w:t>(5,643)</w:t>
            </w:r>
          </w:p>
        </w:tc>
        <w:tc>
          <w:tcPr>
            <w:tcW w:w="140" w:type="dxa"/>
            <w:vAlign w:val="bottom"/>
            <w:shd w:val="clear" w:color="auto" w:fill="CFF0FC"/>
          </w:tcPr>
          <w:p>
            <w:pPr>
              <w:spacing w:after="0"/>
              <w:rPr>
                <w:sz w:val="9"/>
                <w:szCs w:val="9"/>
                <w:color w:val="auto"/>
              </w:rPr>
            </w:pPr>
          </w:p>
        </w:tc>
        <w:tc>
          <w:tcPr>
            <w:tcW w:w="540" w:type="dxa"/>
            <w:vAlign w:val="bottom"/>
            <w:gridSpan w:val="2"/>
            <w:shd w:val="clear" w:color="auto" w:fill="CFF0FC"/>
          </w:tcPr>
          <w:p>
            <w:pPr>
              <w:jc w:val="right"/>
              <w:ind w:right="40"/>
              <w:spacing w:after="0" w:line="114" w:lineRule="exact"/>
              <w:rPr>
                <w:sz w:val="20"/>
                <w:szCs w:val="20"/>
                <w:color w:val="auto"/>
              </w:rPr>
            </w:pPr>
            <w:r>
              <w:rPr>
                <w:rFonts w:ascii="Times New Roman" w:cs="Times New Roman" w:eastAsia="Times New Roman" w:hAnsi="Times New Roman"/>
                <w:sz w:val="12"/>
                <w:szCs w:val="12"/>
                <w:color w:val="auto"/>
              </w:rPr>
              <w:t>(1,236)</w:t>
            </w:r>
          </w:p>
        </w:tc>
      </w:tr>
      <w:tr>
        <w:trPr>
          <w:trHeight w:val="129"/>
        </w:trPr>
        <w:tc>
          <w:tcPr>
            <w:tcW w:w="20" w:type="dxa"/>
            <w:vAlign w:val="bottom"/>
          </w:tcPr>
          <w:p>
            <w:pPr>
              <w:spacing w:after="0"/>
              <w:rPr>
                <w:sz w:val="11"/>
                <w:szCs w:val="11"/>
                <w:color w:val="auto"/>
              </w:rPr>
            </w:pPr>
          </w:p>
        </w:tc>
        <w:tc>
          <w:tcPr>
            <w:tcW w:w="1980" w:type="dxa"/>
            <w:vAlign w:val="bottom"/>
            <w:shd w:val="clear" w:color="auto" w:fill="CFF0FC"/>
          </w:tcPr>
          <w:p>
            <w:pPr>
              <w:ind w:left="100"/>
              <w:spacing w:after="0" w:line="129" w:lineRule="exact"/>
              <w:rPr>
                <w:sz w:val="20"/>
                <w:szCs w:val="20"/>
                <w:color w:val="auto"/>
              </w:rPr>
            </w:pPr>
            <w:r>
              <w:rPr>
                <w:rFonts w:ascii="Times New Roman" w:cs="Times New Roman" w:eastAsia="Times New Roman" w:hAnsi="Times New Roman"/>
                <w:sz w:val="12"/>
                <w:szCs w:val="12"/>
                <w:color w:val="auto"/>
              </w:rPr>
              <w:t>costs and other, net of interest</w:t>
            </w:r>
          </w:p>
        </w:tc>
        <w:tc>
          <w:tcPr>
            <w:tcW w:w="8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980" w:type="dxa"/>
            <w:vAlign w:val="bottom"/>
            <w:tcBorders>
              <w:bottom w:val="single" w:sz="8" w:color="CFF0FC"/>
            </w:tcBorders>
            <w:shd w:val="clear" w:color="auto" w:fill="CFF0FC"/>
          </w:tcPr>
          <w:p>
            <w:pPr>
              <w:ind w:left="100"/>
              <w:spacing w:after="0" w:line="133" w:lineRule="exact"/>
              <w:rPr>
                <w:sz w:val="20"/>
                <w:szCs w:val="20"/>
                <w:color w:val="auto"/>
              </w:rPr>
            </w:pPr>
            <w:r>
              <w:rPr>
                <w:rFonts w:ascii="Times New Roman" w:cs="Times New Roman" w:eastAsia="Times New Roman" w:hAnsi="Times New Roman"/>
                <w:sz w:val="12"/>
                <w:szCs w:val="12"/>
                <w:color w:val="auto"/>
              </w:rPr>
              <w:t>income from cash flow hedges</w:t>
            </w:r>
          </w:p>
        </w:tc>
        <w:tc>
          <w:tcPr>
            <w:tcW w:w="860" w:type="dxa"/>
            <w:vAlign w:val="bottom"/>
            <w:tcBorders>
              <w:bottom w:val="single" w:sz="8" w:color="CFF0FC"/>
            </w:tcBorders>
            <w:shd w:val="clear" w:color="auto" w:fill="CFF0FC"/>
          </w:tcPr>
          <w:p>
            <w:pPr>
              <w:spacing w:after="0"/>
              <w:rPr>
                <w:sz w:val="11"/>
                <w:szCs w:val="11"/>
                <w:color w:val="auto"/>
              </w:rPr>
            </w:pPr>
          </w:p>
        </w:tc>
        <w:tc>
          <w:tcPr>
            <w:tcW w:w="200" w:type="dxa"/>
            <w:vAlign w:val="bottom"/>
            <w:tcBorders>
              <w:bottom w:val="single" w:sz="8" w:color="CFF0FC"/>
            </w:tcBorders>
            <w:shd w:val="clear" w:color="auto" w:fill="CFF0FC"/>
          </w:tcPr>
          <w:p>
            <w:pPr>
              <w:spacing w:after="0"/>
              <w:rPr>
                <w:sz w:val="11"/>
                <w:szCs w:val="11"/>
                <w:color w:val="auto"/>
              </w:rPr>
            </w:pPr>
          </w:p>
        </w:tc>
        <w:tc>
          <w:tcPr>
            <w:tcW w:w="800" w:type="dxa"/>
            <w:vAlign w:val="bottom"/>
            <w:tcBorders>
              <w:bottom w:val="single" w:sz="8" w:color="CFF0FC"/>
            </w:tcBorders>
            <w:shd w:val="clear" w:color="auto" w:fill="CFF0FC"/>
          </w:tcPr>
          <w:p>
            <w:pPr>
              <w:spacing w:after="0"/>
              <w:rPr>
                <w:sz w:val="11"/>
                <w:szCs w:val="11"/>
                <w:color w:val="auto"/>
              </w:rPr>
            </w:pPr>
          </w:p>
        </w:tc>
        <w:tc>
          <w:tcPr>
            <w:tcW w:w="180" w:type="dxa"/>
            <w:vAlign w:val="bottom"/>
            <w:tcBorders>
              <w:bottom w:val="single" w:sz="8" w:color="CFF0FC"/>
            </w:tcBorders>
            <w:shd w:val="clear" w:color="auto" w:fill="CFF0FC"/>
          </w:tcPr>
          <w:p>
            <w:pPr>
              <w:spacing w:after="0"/>
              <w:rPr>
                <w:sz w:val="11"/>
                <w:szCs w:val="11"/>
                <w:color w:val="auto"/>
              </w:rPr>
            </w:pPr>
          </w:p>
        </w:tc>
        <w:tc>
          <w:tcPr>
            <w:tcW w:w="180" w:type="dxa"/>
            <w:vAlign w:val="bottom"/>
            <w:tcBorders>
              <w:bottom w:val="single" w:sz="8" w:color="auto"/>
            </w:tcBorders>
            <w:shd w:val="clear" w:color="auto" w:fill="CFF0FC"/>
          </w:tcPr>
          <w:p>
            <w:pPr>
              <w:spacing w:after="0"/>
              <w:rPr>
                <w:sz w:val="11"/>
                <w:szCs w:val="11"/>
                <w:color w:val="auto"/>
              </w:rPr>
            </w:pPr>
          </w:p>
        </w:tc>
        <w:tc>
          <w:tcPr>
            <w:tcW w:w="600" w:type="dxa"/>
            <w:vAlign w:val="bottom"/>
            <w:tcBorders>
              <w:bottom w:val="single" w:sz="8" w:color="auto"/>
            </w:tcBorders>
            <w:shd w:val="clear" w:color="auto" w:fill="CFF0FC"/>
          </w:tcPr>
          <w:p>
            <w:pPr>
              <w:spacing w:after="0"/>
              <w:rPr>
                <w:sz w:val="11"/>
                <w:szCs w:val="11"/>
                <w:color w:val="auto"/>
              </w:rPr>
            </w:pPr>
          </w:p>
        </w:tc>
        <w:tc>
          <w:tcPr>
            <w:tcW w:w="16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560" w:type="dxa"/>
            <w:vAlign w:val="bottom"/>
            <w:tcBorders>
              <w:bottom w:val="single" w:sz="8" w:color="auto"/>
            </w:tcBorders>
            <w:shd w:val="clear" w:color="auto" w:fill="CFF0FC"/>
          </w:tcPr>
          <w:p>
            <w:pPr>
              <w:spacing w:after="0"/>
              <w:rPr>
                <w:sz w:val="11"/>
                <w:szCs w:val="11"/>
                <w:color w:val="auto"/>
              </w:rPr>
            </w:pPr>
          </w:p>
        </w:tc>
        <w:tc>
          <w:tcPr>
            <w:tcW w:w="160" w:type="dxa"/>
            <w:vAlign w:val="bottom"/>
            <w:tcBorders>
              <w:bottom w:val="single" w:sz="8" w:color="CFF0FC"/>
            </w:tcBorders>
            <w:shd w:val="clear" w:color="auto" w:fill="CFF0FC"/>
          </w:tcPr>
          <w:p>
            <w:pPr>
              <w:spacing w:after="0"/>
              <w:rPr>
                <w:sz w:val="11"/>
                <w:szCs w:val="11"/>
                <w:color w:val="auto"/>
              </w:rPr>
            </w:pPr>
          </w:p>
        </w:tc>
        <w:tc>
          <w:tcPr>
            <w:tcW w:w="280" w:type="dxa"/>
            <w:vAlign w:val="bottom"/>
            <w:tcBorders>
              <w:bottom w:val="single" w:sz="8" w:color="auto"/>
            </w:tcBorders>
            <w:shd w:val="clear" w:color="auto" w:fill="CFF0FC"/>
          </w:tcPr>
          <w:p>
            <w:pPr>
              <w:spacing w:after="0"/>
              <w:rPr>
                <w:sz w:val="11"/>
                <w:szCs w:val="11"/>
                <w:color w:val="auto"/>
              </w:rPr>
            </w:pPr>
          </w:p>
        </w:tc>
        <w:tc>
          <w:tcPr>
            <w:tcW w:w="800" w:type="dxa"/>
            <w:vAlign w:val="bottom"/>
            <w:tcBorders>
              <w:bottom w:val="single" w:sz="8" w:color="auto"/>
            </w:tcBorders>
            <w:shd w:val="clear" w:color="auto" w:fill="CFF0FC"/>
          </w:tcPr>
          <w:p>
            <w:pPr>
              <w:spacing w:after="0"/>
              <w:rPr>
                <w:sz w:val="11"/>
                <w:szCs w:val="11"/>
                <w:color w:val="auto"/>
              </w:rPr>
            </w:pPr>
          </w:p>
        </w:tc>
        <w:tc>
          <w:tcPr>
            <w:tcW w:w="16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auto"/>
            </w:tcBorders>
            <w:shd w:val="clear" w:color="auto" w:fill="CFF0FC"/>
          </w:tcPr>
          <w:p>
            <w:pPr>
              <w:spacing w:after="0"/>
              <w:rPr>
                <w:sz w:val="11"/>
                <w:szCs w:val="11"/>
                <w:color w:val="auto"/>
              </w:rPr>
            </w:pPr>
          </w:p>
        </w:tc>
        <w:tc>
          <w:tcPr>
            <w:tcW w:w="460" w:type="dxa"/>
            <w:vAlign w:val="bottom"/>
            <w:tcBorders>
              <w:bottom w:val="single" w:sz="8" w:color="auto"/>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r>
      <w:tr>
        <w:trPr>
          <w:trHeight w:val="105"/>
        </w:trPr>
        <w:tc>
          <w:tcPr>
            <w:tcW w:w="20" w:type="dxa"/>
            <w:vAlign w:val="bottom"/>
          </w:tcPr>
          <w:p>
            <w:pPr>
              <w:spacing w:after="0"/>
              <w:rPr>
                <w:sz w:val="9"/>
                <w:szCs w:val="9"/>
                <w:color w:val="auto"/>
              </w:rPr>
            </w:pPr>
          </w:p>
        </w:tc>
        <w:tc>
          <w:tcPr>
            <w:tcW w:w="1980" w:type="dxa"/>
            <w:vAlign w:val="bottom"/>
          </w:tcPr>
          <w:p>
            <w:pPr>
              <w:spacing w:after="0" w:line="105" w:lineRule="exact"/>
              <w:rPr>
                <w:sz w:val="20"/>
                <w:szCs w:val="20"/>
                <w:color w:val="auto"/>
              </w:rPr>
            </w:pPr>
            <w:r>
              <w:rPr>
                <w:rFonts w:ascii="Times New Roman" w:cs="Times New Roman" w:eastAsia="Times New Roman" w:hAnsi="Times New Roman"/>
                <w:sz w:val="12"/>
                <w:szCs w:val="12"/>
                <w:color w:val="auto"/>
              </w:rPr>
              <w:t>Total debt</w:t>
            </w: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jc w:val="right"/>
              <w:ind w:right="66"/>
              <w:spacing w:after="0" w:line="105" w:lineRule="exact"/>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line="105" w:lineRule="exact"/>
              <w:rPr>
                <w:sz w:val="20"/>
                <w:szCs w:val="20"/>
                <w:color w:val="auto"/>
              </w:rPr>
            </w:pPr>
            <w:r>
              <w:rPr>
                <w:rFonts w:ascii="Times New Roman" w:cs="Times New Roman" w:eastAsia="Times New Roman" w:hAnsi="Times New Roman"/>
                <w:sz w:val="12"/>
                <w:szCs w:val="12"/>
                <w:color w:val="auto"/>
              </w:rPr>
              <w:t>2,237,644</w:t>
            </w:r>
          </w:p>
        </w:tc>
        <w:tc>
          <w:tcPr>
            <w:tcW w:w="280" w:type="dxa"/>
            <w:vAlign w:val="bottom"/>
            <w:gridSpan w:val="2"/>
          </w:tcPr>
          <w:p>
            <w:pPr>
              <w:ind w:left="160"/>
              <w:spacing w:after="0" w:line="105" w:lineRule="exact"/>
              <w:rPr>
                <w:sz w:val="20"/>
                <w:szCs w:val="20"/>
                <w:color w:val="auto"/>
              </w:rPr>
            </w:pPr>
            <w:r>
              <w:rPr>
                <w:rFonts w:ascii="Times New Roman" w:cs="Times New Roman" w:eastAsia="Times New Roman" w:hAnsi="Times New Roman"/>
                <w:sz w:val="12"/>
                <w:szCs w:val="12"/>
                <w:color w:val="auto"/>
              </w:rPr>
              <w:t>$</w:t>
            </w:r>
          </w:p>
        </w:tc>
        <w:tc>
          <w:tcPr>
            <w:tcW w:w="560" w:type="dxa"/>
            <w:vAlign w:val="bottom"/>
          </w:tcPr>
          <w:p>
            <w:pPr>
              <w:jc w:val="right"/>
              <w:spacing w:after="0" w:line="105" w:lineRule="exact"/>
              <w:rPr>
                <w:sz w:val="20"/>
                <w:szCs w:val="20"/>
                <w:color w:val="auto"/>
              </w:rPr>
            </w:pPr>
            <w:r>
              <w:rPr>
                <w:rFonts w:ascii="Times New Roman" w:cs="Times New Roman" w:eastAsia="Times New Roman" w:hAnsi="Times New Roman"/>
                <w:sz w:val="12"/>
                <w:szCs w:val="12"/>
                <w:color w:val="auto"/>
              </w:rPr>
              <w:t>2,569,744</w:t>
            </w:r>
          </w:p>
        </w:tc>
        <w:tc>
          <w:tcPr>
            <w:tcW w:w="440" w:type="dxa"/>
            <w:vAlign w:val="bottom"/>
            <w:gridSpan w:val="2"/>
          </w:tcPr>
          <w:p>
            <w:pPr>
              <w:jc w:val="right"/>
              <w:ind w:right="146"/>
              <w:spacing w:after="0" w:line="105" w:lineRule="exact"/>
              <w:rPr>
                <w:sz w:val="20"/>
                <w:szCs w:val="20"/>
                <w:color w:val="auto"/>
              </w:rPr>
            </w:pPr>
            <w:r>
              <w:rPr>
                <w:rFonts w:ascii="Times New Roman" w:cs="Times New Roman" w:eastAsia="Times New Roman" w:hAnsi="Times New Roman"/>
                <w:sz w:val="12"/>
                <w:szCs w:val="12"/>
                <w:color w:val="auto"/>
              </w:rPr>
              <w:t>$</w:t>
            </w:r>
          </w:p>
        </w:tc>
        <w:tc>
          <w:tcPr>
            <w:tcW w:w="800" w:type="dxa"/>
            <w:vAlign w:val="bottom"/>
          </w:tcPr>
          <w:p>
            <w:pPr>
              <w:jc w:val="right"/>
              <w:spacing w:after="0" w:line="105" w:lineRule="exact"/>
              <w:rPr>
                <w:sz w:val="20"/>
                <w:szCs w:val="20"/>
                <w:color w:val="auto"/>
              </w:rPr>
            </w:pPr>
            <w:r>
              <w:rPr>
                <w:rFonts w:ascii="Times New Roman" w:cs="Times New Roman" w:eastAsia="Times New Roman" w:hAnsi="Times New Roman"/>
                <w:sz w:val="12"/>
                <w:szCs w:val="12"/>
                <w:color w:val="auto"/>
              </w:rPr>
              <w:t>106,532</w:t>
            </w:r>
          </w:p>
        </w:tc>
        <w:tc>
          <w:tcPr>
            <w:tcW w:w="160" w:type="dxa"/>
            <w:vAlign w:val="bottom"/>
          </w:tcPr>
          <w:p>
            <w:pPr>
              <w:spacing w:after="0"/>
              <w:rPr>
                <w:sz w:val="9"/>
                <w:szCs w:val="9"/>
                <w:color w:val="auto"/>
              </w:rPr>
            </w:pPr>
          </w:p>
        </w:tc>
        <w:tc>
          <w:tcPr>
            <w:tcW w:w="140" w:type="dxa"/>
            <w:vAlign w:val="bottom"/>
          </w:tcPr>
          <w:p>
            <w:pPr>
              <w:spacing w:after="0" w:line="105" w:lineRule="exact"/>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jc w:val="right"/>
              <w:spacing w:after="0" w:line="105" w:lineRule="exact"/>
              <w:rPr>
                <w:sz w:val="20"/>
                <w:szCs w:val="20"/>
                <w:color w:val="auto"/>
              </w:rPr>
            </w:pPr>
            <w:r>
              <w:rPr>
                <w:rFonts w:ascii="Times New Roman" w:cs="Times New Roman" w:eastAsia="Times New Roman" w:hAnsi="Times New Roman"/>
                <w:sz w:val="12"/>
                <w:szCs w:val="12"/>
                <w:color w:val="auto"/>
              </w:rPr>
              <w:t>157,311</w:t>
            </w:r>
          </w:p>
        </w:tc>
        <w:tc>
          <w:tcPr>
            <w:tcW w:w="80" w:type="dxa"/>
            <w:vAlign w:val="bottom"/>
          </w:tcPr>
          <w:p>
            <w:pPr>
              <w:spacing w:after="0"/>
              <w:rPr>
                <w:sz w:val="9"/>
                <w:szCs w:val="9"/>
                <w:color w:val="auto"/>
              </w:rPr>
            </w:pPr>
          </w:p>
        </w:tc>
      </w:tr>
      <w:tr>
        <w:trPr>
          <w:trHeight w:val="186"/>
        </w:trPr>
        <w:tc>
          <w:tcPr>
            <w:tcW w:w="20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Less: debt issuance costs, net</w:t>
            </w: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55,588</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62,200</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3467100</wp:posOffset>
            </wp:positionH>
            <wp:positionV relativeFrom="paragraph">
              <wp:posOffset>-196215</wp:posOffset>
            </wp:positionV>
            <wp:extent cx="47625" cy="698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4005580</wp:posOffset>
            </wp:positionH>
            <wp:positionV relativeFrom="paragraph">
              <wp:posOffset>-196215</wp:posOffset>
            </wp:positionV>
            <wp:extent cx="47625" cy="698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4789805</wp:posOffset>
            </wp:positionH>
            <wp:positionV relativeFrom="paragraph">
              <wp:posOffset>-196215</wp:posOffset>
            </wp:positionV>
            <wp:extent cx="47625" cy="698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-196215</wp:posOffset>
            </wp:positionV>
            <wp:extent cx="47625" cy="698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405130</wp:posOffset>
            </wp:positionH>
            <wp:positionV relativeFrom="paragraph">
              <wp:posOffset>-107950</wp:posOffset>
            </wp:positionV>
            <wp:extent cx="3648075" cy="10922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3648075" cy="109220"/>
                    </a:xfrm>
                    <a:prstGeom prst="rect">
                      <a:avLst/>
                    </a:prstGeom>
                    <a:noFill/>
                  </pic:spPr>
                </pic:pic>
              </a:graphicData>
            </a:graphic>
          </wp:anchor>
        </w:drawing>
      </w:r>
    </w:p>
    <w:p>
      <w:pPr>
        <w:sectPr>
          <w:pgSz w:w="11900" w:h="16838" w:orient="portrait"/>
          <w:cols w:equalWidth="0" w:num="1">
            <w:col w:w="9019"/>
          </w:cols>
          <w:pgMar w:left="1440" w:top="893" w:right="1440" w:bottom="1440" w:gutter="0" w:footer="0" w:header="0"/>
        </w:sectPr>
      </w:pPr>
    </w:p>
    <w:p>
      <w:pPr>
        <w:ind w:left="640"/>
        <w:spacing w:after="0" w:line="224" w:lineRule="auto"/>
        <w:rPr>
          <w:sz w:val="20"/>
          <w:szCs w:val="20"/>
          <w:color w:val="auto"/>
        </w:rPr>
      </w:pPr>
      <w:r>
        <w:rPr>
          <w:rFonts w:ascii="Times New Roman" w:cs="Times New Roman" w:eastAsia="Times New Roman" w:hAnsi="Times New Roman"/>
          <w:sz w:val="12"/>
          <w:szCs w:val="12"/>
          <w:color w:val="auto"/>
        </w:rPr>
        <w:t>Total debt, net of debt issuance costs</w:t>
      </w:r>
    </w:p>
    <w:p>
      <w:pPr>
        <w:ind w:left="640"/>
        <w:spacing w:after="0"/>
        <w:rPr>
          <w:sz w:val="20"/>
          <w:szCs w:val="20"/>
          <w:color w:val="auto"/>
        </w:rPr>
      </w:pPr>
      <w:r>
        <w:rPr>
          <w:rFonts w:ascii="Times New Roman" w:cs="Times New Roman" w:eastAsia="Times New Roman" w:hAnsi="Times New Roman"/>
          <w:sz w:val="12"/>
          <w:szCs w:val="12"/>
          <w:color w:val="auto"/>
        </w:rPr>
        <w:t>Less: current portion of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-86360</wp:posOffset>
            </wp:positionV>
            <wp:extent cx="3648075" cy="889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3648075" cy="88900"/>
                    </a:xfrm>
                    <a:prstGeom prst="rect">
                      <a:avLst/>
                    </a:prstGeom>
                    <a:noFill/>
                  </pic:spPr>
                </pic:pic>
              </a:graphicData>
            </a:graphic>
          </wp:anchor>
        </w:drawing>
      </w:r>
    </w:p>
    <w:p>
      <w:pPr>
        <w:ind w:left="640"/>
        <w:spacing w:after="0" w:line="226" w:lineRule="auto"/>
        <w:rPr>
          <w:sz w:val="20"/>
          <w:szCs w:val="20"/>
          <w:color w:val="auto"/>
        </w:rPr>
      </w:pPr>
      <w:r>
        <w:rPr>
          <w:rFonts w:ascii="Times New Roman" w:cs="Times New Roman" w:eastAsia="Times New Roman" w:hAnsi="Times New Roman"/>
          <w:sz w:val="12"/>
          <w:szCs w:val="12"/>
          <w:color w:val="auto"/>
        </w:rPr>
        <w:t>Total long-term debt, net of current</w:t>
      </w:r>
    </w:p>
    <w:p>
      <w:pPr>
        <w:spacing w:after="0" w:line="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2"/>
          <w:szCs w:val="12"/>
          <w:color w:val="auto"/>
        </w:rPr>
        <w:t>portion</w:t>
      </w:r>
    </w:p>
    <w:p>
      <w:pPr>
        <w:spacing w:after="0" w:line="20" w:lineRule="exact"/>
        <w:rPr>
          <w:sz w:val="20"/>
          <w:szCs w:val="20"/>
          <w:color w:val="auto"/>
        </w:rPr>
      </w:pPr>
      <w:r>
        <w:rPr>
          <w:sz w:val="20"/>
          <w:szCs w:val="20"/>
          <w:color w:val="auto"/>
        </w:rPr>
        <w:br w:type="column"/>
      </w:r>
    </w:p>
    <w:p>
      <w:pPr>
        <w:jc w:val="both"/>
        <w:ind w:left="280"/>
        <w:spacing w:after="0" w:line="224" w:lineRule="auto"/>
        <w:tabs>
          <w:tab w:leader="none" w:pos="1120" w:val="left"/>
        </w:tabs>
        <w:rPr>
          <w:sz w:val="20"/>
          <w:szCs w:val="20"/>
          <w:color w:val="auto"/>
        </w:rPr>
      </w:pPr>
      <w:r>
        <w:rPr>
          <w:rFonts w:ascii="Times New Roman" w:cs="Times New Roman" w:eastAsia="Times New Roman" w:hAnsi="Times New Roman"/>
          <w:sz w:val="12"/>
          <w:szCs w:val="12"/>
          <w:color w:val="auto"/>
        </w:rPr>
        <w:t>2,182,056</w:t>
      </w:r>
      <w:r>
        <w:rPr>
          <w:sz w:val="20"/>
          <w:szCs w:val="20"/>
          <w:color w:val="auto"/>
        </w:rPr>
        <w:tab/>
      </w:r>
      <w:r>
        <w:rPr>
          <w:rFonts w:ascii="Times New Roman" w:cs="Times New Roman" w:eastAsia="Times New Roman" w:hAnsi="Times New Roman"/>
          <w:sz w:val="12"/>
          <w:szCs w:val="12"/>
          <w:color w:val="auto"/>
        </w:rPr>
        <w:t>2,507,544</w:t>
      </w:r>
    </w:p>
    <w:p>
      <w:pPr>
        <w:jc w:val="both"/>
        <w:ind w:left="440"/>
        <w:spacing w:after="0"/>
        <w:tabs>
          <w:tab w:leader="none" w:pos="1260" w:val="left"/>
        </w:tabs>
        <w:rPr>
          <w:sz w:val="20"/>
          <w:szCs w:val="20"/>
          <w:color w:val="auto"/>
        </w:rPr>
      </w:pPr>
      <w:r>
        <w:rPr>
          <w:rFonts w:ascii="Times New Roman" w:cs="Times New Roman" w:eastAsia="Times New Roman" w:hAnsi="Times New Roman"/>
          <w:sz w:val="12"/>
          <w:szCs w:val="12"/>
          <w:color w:val="auto"/>
        </w:rPr>
        <w:t>35,277</w:t>
      </w:r>
      <w:r>
        <w:rPr>
          <w:sz w:val="20"/>
          <w:szCs w:val="20"/>
          <w:color w:val="auto"/>
        </w:rPr>
        <w:tab/>
      </w:r>
      <w:r>
        <w:rPr>
          <w:rFonts w:ascii="Times New Roman" w:cs="Times New Roman" w:eastAsia="Times New Roman" w:hAnsi="Times New Roman"/>
          <w:sz w:val="12"/>
          <w:szCs w:val="12"/>
          <w:color w:val="auto"/>
        </w:rPr>
        <w:t>52,340</w:t>
      </w:r>
    </w:p>
    <w:p>
      <w:pPr>
        <w:spacing w:after="0" w:line="84" w:lineRule="exact"/>
        <w:rPr>
          <w:sz w:val="20"/>
          <w:szCs w:val="20"/>
          <w:color w:val="auto"/>
        </w:rPr>
      </w:pPr>
    </w:p>
    <w:p>
      <w:pPr>
        <w:spacing w:after="0"/>
        <w:tabs>
          <w:tab w:leader="none" w:pos="260" w:val="left"/>
          <w:tab w:leader="none" w:pos="920" w:val="left"/>
          <w:tab w:leader="none" w:pos="1120" w:val="left"/>
        </w:tabs>
        <w:rPr>
          <w:sz w:val="20"/>
          <w:szCs w:val="20"/>
          <w:color w:val="auto"/>
        </w:rPr>
      </w:pPr>
      <w:r>
        <w:rPr>
          <w:rFonts w:ascii="Times New Roman" w:cs="Times New Roman" w:eastAsia="Times New Roman" w:hAnsi="Times New Roman"/>
          <w:sz w:val="12"/>
          <w:szCs w:val="12"/>
          <w:u w:val="single" w:color="auto"/>
          <w:color w:val="auto"/>
        </w:rPr>
        <w:t>$</w:t>
      </w:r>
      <w:r>
        <w:rPr>
          <w:sz w:val="20"/>
          <w:szCs w:val="20"/>
          <w:color w:val="auto"/>
        </w:rPr>
        <w:tab/>
      </w:r>
      <w:r>
        <w:rPr>
          <w:rFonts w:ascii="Times New Roman" w:cs="Times New Roman" w:eastAsia="Times New Roman" w:hAnsi="Times New Roman"/>
          <w:sz w:val="12"/>
          <w:szCs w:val="12"/>
          <w:u w:val="single" w:color="auto"/>
          <w:color w:val="auto"/>
        </w:rPr>
        <w:t>2,146,779</w:t>
        <w:tab/>
        <w:t>$</w:t>
        <w:tab/>
        <w:t>2,455,204</w:t>
      </w:r>
    </w:p>
    <w:p>
      <w:pPr>
        <w:spacing w:after="0" w:line="195" w:lineRule="exact"/>
        <w:rPr>
          <w:sz w:val="20"/>
          <w:szCs w:val="20"/>
          <w:color w:val="auto"/>
        </w:rPr>
      </w:pPr>
    </w:p>
    <w:p>
      <w:pPr>
        <w:sectPr>
          <w:pgSz w:w="11900" w:h="16838" w:orient="portrait"/>
          <w:cols w:equalWidth="0" w:num="2">
            <w:col w:w="3960" w:space="720"/>
            <w:col w:w="4339"/>
          </w:cols>
          <w:pgMar w:left="1440" w:top="893" w:right="1440" w:bottom="1440" w:gutter="0" w:footer="0" w:header="0"/>
          <w:type w:val="continuous"/>
        </w:sectPr>
      </w:pPr>
    </w:p>
    <w:p>
      <w:pPr>
        <w:ind w:left="640" w:right="659" w:firstLine="516"/>
        <w:spacing w:after="0" w:line="268" w:lineRule="auto"/>
        <w:rPr>
          <w:sz w:val="20"/>
          <w:szCs w:val="20"/>
          <w:color w:val="auto"/>
        </w:rPr>
      </w:pPr>
      <w:r>
        <w:rPr>
          <w:rFonts w:ascii="Times New Roman" w:cs="Times New Roman" w:eastAsia="Times New Roman" w:hAnsi="Times New Roman"/>
          <w:sz w:val="14"/>
          <w:szCs w:val="14"/>
          <w:color w:val="auto"/>
        </w:rPr>
        <w:t>Our Company leverage, as calculated under our First Lien Credit Agreement, was 1.79x and 2.99x at September 30, 2026 and December 31, 2025, respectively. The results of the Community Living business are excluded from the calculation for September 30, 2026 since the Company divested the Community Living business prior to the end of the period. The results of the Community Living business are included in the calculation for December 31, 2025 pursuant to the terms of our First Lien Credit Agreement.</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Critical Accounting Policies and Use of Estimates</w:t>
      </w:r>
    </w:p>
    <w:p>
      <w:pPr>
        <w:spacing w:after="0" w:line="99" w:lineRule="exact"/>
        <w:rPr>
          <w:sz w:val="20"/>
          <w:szCs w:val="20"/>
          <w:color w:val="auto"/>
        </w:rPr>
      </w:pPr>
    </w:p>
    <w:p>
      <w:pPr>
        <w:ind w:left="640" w:right="739" w:firstLine="351"/>
        <w:spacing w:after="0" w:line="265" w:lineRule="auto"/>
        <w:rPr>
          <w:sz w:val="20"/>
          <w:szCs w:val="20"/>
          <w:color w:val="auto"/>
        </w:rPr>
      </w:pPr>
      <w:r>
        <w:rPr>
          <w:rFonts w:ascii="Times New Roman" w:cs="Times New Roman" w:eastAsia="Times New Roman" w:hAnsi="Times New Roman"/>
          <w:sz w:val="14"/>
          <w:szCs w:val="14"/>
          <w:color w:val="auto"/>
        </w:rPr>
        <w:t>In preparing our unaudited condensed consolidated financial statements in conformity with U.S. GAAP, we must use estimates and assumptions that affect the reported amounts of assets and liabilities and related disclosures and the reported amounts of revenue and expenses. In general, our estimates are based on historical experience and various other assumptions we believe are reasonable under the circumstances. We evaluate our estimates on an ongoing basis and make changes to the estimates and related disclosures as experience develops or new information becomes known. Actual results could differ from those estimates.</w:t>
      </w:r>
    </w:p>
    <w:p>
      <w:pPr>
        <w:spacing w:after="0" w:line="56" w:lineRule="exact"/>
        <w:rPr>
          <w:sz w:val="20"/>
          <w:szCs w:val="20"/>
          <w:color w:val="auto"/>
        </w:rPr>
      </w:pPr>
    </w:p>
    <w:p>
      <w:pPr>
        <w:ind w:left="640" w:right="719" w:firstLine="351"/>
        <w:spacing w:after="0" w:line="268" w:lineRule="auto"/>
        <w:rPr>
          <w:sz w:val="20"/>
          <w:szCs w:val="20"/>
          <w:color w:val="auto"/>
        </w:rPr>
      </w:pPr>
      <w:r>
        <w:rPr>
          <w:rFonts w:ascii="Times New Roman" w:cs="Times New Roman" w:eastAsia="Times New Roman" w:hAnsi="Times New Roman"/>
          <w:sz w:val="14"/>
          <w:szCs w:val="14"/>
          <w:color w:val="auto"/>
        </w:rPr>
        <w:t>We consider our critical accounting policies and estimates to be those that involve significant judgments and uncertainties and may potentially result in materially different results under different assumptions and conditions. There have been no material changes to our critical accounting policies and estimates from those disclosed in Part II, Item 7 of our Annual Report on Form 10-K for the year ended December 31, 2025, which are hereby incorporated by reference.</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Item 3. Quantitative and Qualitative Disclosures About Market Risk.</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Impact of Inflation</w:t>
      </w:r>
    </w:p>
    <w:p>
      <w:pPr>
        <w:spacing w:after="0" w:line="101" w:lineRule="exact"/>
        <w:rPr>
          <w:sz w:val="20"/>
          <w:szCs w:val="20"/>
          <w:color w:val="auto"/>
        </w:rPr>
      </w:pPr>
    </w:p>
    <w:p>
      <w:pPr>
        <w:ind w:left="640" w:right="659" w:firstLine="351"/>
        <w:spacing w:after="0" w:line="268" w:lineRule="auto"/>
        <w:rPr>
          <w:sz w:val="20"/>
          <w:szCs w:val="20"/>
          <w:color w:val="auto"/>
        </w:rPr>
      </w:pPr>
      <w:r>
        <w:rPr>
          <w:rFonts w:ascii="Times New Roman" w:cs="Times New Roman" w:eastAsia="Times New Roman" w:hAnsi="Times New Roman"/>
          <w:sz w:val="14"/>
          <w:szCs w:val="14"/>
          <w:color w:val="auto"/>
        </w:rPr>
        <w:t>Wages and other expenses increase during periods of inflation and when labor shortages occur in the marketplace. The impact of inflation on the Company is primarily in the area of labor costs. The healthcare industry is labor intensive. There can be no guarantee we will not experience increases in the cost of labor, particularly given the shortage of qualified caregivers in our markets, and since the demand for homecare services is expected to grow.</w:t>
      </w:r>
    </w:p>
    <w:p>
      <w:pPr>
        <w:spacing w:after="0" w:line="54" w:lineRule="exact"/>
        <w:rPr>
          <w:sz w:val="20"/>
          <w:szCs w:val="20"/>
          <w:color w:val="auto"/>
        </w:rPr>
      </w:pPr>
    </w:p>
    <w:p>
      <w:pPr>
        <w:ind w:left="640" w:right="839" w:firstLine="351"/>
        <w:spacing w:after="0" w:line="268" w:lineRule="auto"/>
        <w:rPr>
          <w:sz w:val="20"/>
          <w:szCs w:val="20"/>
          <w:color w:val="auto"/>
        </w:rPr>
      </w:pPr>
      <w:r>
        <w:rPr>
          <w:rFonts w:ascii="Times New Roman" w:cs="Times New Roman" w:eastAsia="Times New Roman" w:hAnsi="Times New Roman"/>
          <w:sz w:val="14"/>
          <w:szCs w:val="14"/>
          <w:color w:val="auto"/>
        </w:rPr>
        <w:t>In addition, increases in healthcare costs are typically higher than inflation and impact our costs under our employee benefit plans. Managing these costs remains a significant challenge and priority for us. While we believe the effects of inflation, if any, and labor shortages on our results of operations and financial condition have not been significant, there can be no guarantee we will not experience the effect of inflation in the future.</w:t>
      </w:r>
    </w:p>
    <w:p>
      <w:pPr>
        <w:spacing w:after="0" w:line="54" w:lineRule="exact"/>
        <w:rPr>
          <w:sz w:val="20"/>
          <w:szCs w:val="20"/>
          <w:color w:val="auto"/>
        </w:rPr>
      </w:pPr>
    </w:p>
    <w:p>
      <w:pPr>
        <w:ind w:left="640" w:right="719" w:firstLine="351"/>
        <w:spacing w:after="0" w:line="268" w:lineRule="auto"/>
        <w:rPr>
          <w:sz w:val="20"/>
          <w:szCs w:val="20"/>
          <w:color w:val="auto"/>
        </w:rPr>
      </w:pPr>
      <w:r>
        <w:rPr>
          <w:rFonts w:ascii="Times New Roman" w:cs="Times New Roman" w:eastAsia="Times New Roman" w:hAnsi="Times New Roman"/>
          <w:sz w:val="14"/>
          <w:szCs w:val="14"/>
          <w:color w:val="auto"/>
        </w:rPr>
        <w:t>In addition, suppliers pass along rising costs to us in the form of higher prices, which impacts us primarily in the area of pharmaceutical drug costs in our Pharmacy Solutions segment. Changes in costs of drugs can be accompanied by a change in rate that we pass along to our customers. Additionally, our supply chain efforts have enabled us to effectively manage and mitigate any inflationary impacts in our supply chain over recent years. However, we cannot predict our ability to cover future cost increases.</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93" w:right="1440" w:bottom="1440" w:gutter="0" w:footer="0" w:header="0"/>
          <w:type w:val="continuous"/>
        </w:sectPr>
      </w:pPr>
    </w:p>
    <w:bookmarkStart w:id="46" w:name="page47"/>
    <w:bookmarkEnd w:id="46"/>
    <w:p>
      <w:pPr>
        <w:ind w:left="640" w:right="1099" w:firstLine="351"/>
        <w:spacing w:after="0" w:line="292" w:lineRule="auto"/>
        <w:rPr>
          <w:sz w:val="20"/>
          <w:szCs w:val="20"/>
          <w:color w:val="auto"/>
        </w:rPr>
      </w:pPr>
      <w:r>
        <w:rPr>
          <w:rFonts w:ascii="Times New Roman" w:cs="Times New Roman" w:eastAsia="Times New Roman" w:hAnsi="Times New Roman"/>
          <w:sz w:val="14"/>
          <w:szCs w:val="14"/>
          <w:color w:val="auto"/>
        </w:rPr>
        <w:t>We have little or no ability to pass on certain of these increased costs associated with providing services to Medicare and Medicaid patients due to federal and state laws that establish fixed reimbursement rates.</w:t>
      </w:r>
    </w:p>
    <w:p>
      <w:pPr>
        <w:spacing w:after="0" w:line="1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Interest Rate Risk</w:t>
      </w:r>
    </w:p>
    <w:p>
      <w:pPr>
        <w:spacing w:after="0" w:line="101" w:lineRule="exact"/>
        <w:rPr>
          <w:sz w:val="20"/>
          <w:szCs w:val="20"/>
          <w:color w:val="auto"/>
        </w:rPr>
      </w:pPr>
    </w:p>
    <w:p>
      <w:pPr>
        <w:ind w:left="640" w:right="819" w:firstLine="351"/>
        <w:spacing w:after="0" w:line="265" w:lineRule="auto"/>
        <w:rPr>
          <w:sz w:val="20"/>
          <w:szCs w:val="20"/>
          <w:color w:val="auto"/>
        </w:rPr>
      </w:pPr>
      <w:r>
        <w:rPr>
          <w:rFonts w:ascii="Times New Roman" w:cs="Times New Roman" w:eastAsia="Times New Roman" w:hAnsi="Times New Roman"/>
          <w:sz w:val="14"/>
          <w:szCs w:val="14"/>
          <w:color w:val="auto"/>
        </w:rPr>
        <w:t>The Company is exposed to interest rate risk related to changes in interest rates for borrowings under our First Lien Facilities. Although we hedge a portion of our interest rate risk through interest rate swaps, any borrowings under our First Lien Facility in excess of the notional amount of the swaps will be subject to variable interest rates. By using a derivative instrument to hedge exposures to changes in interest rates, we expose ourselves to credit risk due to the possible failure of the counterparty to perform under the terms of the derivative contract.</w:t>
      </w:r>
    </w:p>
    <w:p>
      <w:pPr>
        <w:spacing w:after="0" w:line="56" w:lineRule="exact"/>
        <w:rPr>
          <w:sz w:val="20"/>
          <w:szCs w:val="20"/>
          <w:color w:val="auto"/>
        </w:rPr>
      </w:pPr>
    </w:p>
    <w:p>
      <w:pPr>
        <w:ind w:left="640" w:right="699" w:firstLine="351"/>
        <w:spacing w:after="0" w:line="262" w:lineRule="auto"/>
        <w:rPr>
          <w:sz w:val="20"/>
          <w:szCs w:val="20"/>
          <w:color w:val="auto"/>
        </w:rPr>
      </w:pPr>
      <w:r>
        <w:rPr>
          <w:rFonts w:ascii="Times New Roman" w:cs="Times New Roman" w:eastAsia="Times New Roman" w:hAnsi="Times New Roman"/>
          <w:sz w:val="14"/>
          <w:szCs w:val="14"/>
          <w:color w:val="auto"/>
        </w:rPr>
        <w:t>As of September 30, 2026, our debt outstanding was $2.2 billion and we had interest rate swaps with a combined notional value of $1.0 billion that were designated as cash flow hedges of interest rate risk. A hypothetical 1% increase in interest rates would decrease our net income and our cash flows by $12.1 million on an annual basis based upon our borrowing level at September 30, 2026. The market risks associated with our debt obligations as of September 30, 2026 have not changed from those reported in Part II. Item 7A. “Quantitative and Qualitative Disclosure About Market Risk” in our Annual Report on Form 10-K for the year ended December 31, 2025. See Note 6 within the unaudited condensed consolidated financial statements and related notes, included elsewhere in the Quarterly Report on Form 10-Q.</w:t>
      </w:r>
    </w:p>
    <w:p>
      <w:pPr>
        <w:spacing w:after="0" w:line="2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Item 4. Controls and Procedures.</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Disclosure Controls and Procedures</w:t>
      </w:r>
    </w:p>
    <w:p>
      <w:pPr>
        <w:spacing w:after="0" w:line="99" w:lineRule="exact"/>
        <w:rPr>
          <w:sz w:val="20"/>
          <w:szCs w:val="20"/>
          <w:color w:val="auto"/>
        </w:rPr>
      </w:pPr>
    </w:p>
    <w:p>
      <w:pPr>
        <w:ind w:left="640" w:right="779" w:firstLine="351"/>
        <w:spacing w:after="0" w:line="265" w:lineRule="auto"/>
        <w:rPr>
          <w:sz w:val="20"/>
          <w:szCs w:val="20"/>
          <w:color w:val="auto"/>
        </w:rPr>
      </w:pPr>
      <w:r>
        <w:rPr>
          <w:rFonts w:ascii="Times New Roman" w:cs="Times New Roman" w:eastAsia="Times New Roman" w:hAnsi="Times New Roman"/>
          <w:sz w:val="14"/>
          <w:szCs w:val="14"/>
          <w:color w:val="auto"/>
        </w:rPr>
        <w:t>Under the supervision and with the participation of the Company’s management, including its Chief Executive Officer and Chief Financial Officer, the Company has evaluated the effectiveness of the design and operation of its disclosure controls and procedures (as defined in Rules 13a-15(e) and 15d-15(e) under the Securities Exchange Act of 1934, as amended (the “Exchange Act”)). Based upon this evaluation, the Chief Executive Officer and Chief Financial Officer have concluded that, as of the end of the period covered by this report, the Company’s disclosure controls and procedures were effective.</w:t>
      </w:r>
    </w:p>
    <w:p>
      <w:pPr>
        <w:spacing w:after="0" w:line="14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Changes in Internal Control Over Financial Reporting</w:t>
      </w:r>
    </w:p>
    <w:p>
      <w:pPr>
        <w:spacing w:after="0" w:line="99" w:lineRule="exact"/>
        <w:rPr>
          <w:sz w:val="20"/>
          <w:szCs w:val="20"/>
          <w:color w:val="auto"/>
        </w:rPr>
      </w:pPr>
    </w:p>
    <w:p>
      <w:pPr>
        <w:jc w:val="both"/>
        <w:ind w:left="640" w:right="879" w:firstLine="351"/>
        <w:spacing w:after="0" w:line="274" w:lineRule="auto"/>
        <w:rPr>
          <w:sz w:val="20"/>
          <w:szCs w:val="20"/>
          <w:color w:val="auto"/>
        </w:rPr>
      </w:pPr>
      <w:r>
        <w:rPr>
          <w:rFonts w:ascii="Times New Roman" w:cs="Times New Roman" w:eastAsia="Times New Roman" w:hAnsi="Times New Roman"/>
          <w:sz w:val="14"/>
          <w:szCs w:val="14"/>
          <w:color w:val="auto"/>
        </w:rPr>
        <w:t>There were no changes to our internal control over financial reporting (as defined in Rules 13a-15(f) and 15d-15(f) under the Exchange Act) that occurred during the quarter ended September 30, 2026 that have materially affected, or are reasonably likely to materially affect, our internal control over financial reporting.</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4"/>
          <w:szCs w:val="14"/>
          <w:b w:val="1"/>
          <w:bCs w:val="1"/>
          <w:color w:val="auto"/>
        </w:rPr>
        <w:t>PART II—OTHER INFORMATION</w:t>
      </w:r>
    </w:p>
    <w:p>
      <w:pPr>
        <w:spacing w:after="0" w:line="26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Item 1. Legal Proceedings.</w:t>
      </w:r>
    </w:p>
    <w:p>
      <w:pPr>
        <w:spacing w:after="0" w:line="99" w:lineRule="exact"/>
        <w:rPr>
          <w:sz w:val="20"/>
          <w:szCs w:val="20"/>
          <w:color w:val="auto"/>
        </w:rPr>
      </w:pPr>
    </w:p>
    <w:p>
      <w:pPr>
        <w:ind w:left="640" w:right="679" w:firstLine="351"/>
        <w:spacing w:after="0" w:line="263" w:lineRule="auto"/>
        <w:rPr>
          <w:sz w:val="20"/>
          <w:szCs w:val="20"/>
          <w:color w:val="auto"/>
        </w:rPr>
      </w:pPr>
      <w:r>
        <w:rPr>
          <w:rFonts w:ascii="Times New Roman" w:cs="Times New Roman" w:eastAsia="Times New Roman" w:hAnsi="Times New Roman"/>
          <w:sz w:val="14"/>
          <w:szCs w:val="14"/>
          <w:color w:val="auto"/>
        </w:rPr>
        <w:t>From time to time, we are involved in various legal and/or administrative proceedings and subject to claims that arise in the ordinary course of business. We do not believe the ultimate liability, if any, for outstanding proceedings or claims, individually or in the aggregate, in excess of amounts already provided in our consolidated financial statements, will have a material adverse effect on our business, financial condition, or results of operations. It is reasonably possible that an adverse determination might have an impact on a particular period. Regardless of the outcome, litigation has the potential to have an adverse impact on us because of defense and settlement costs, diversion of management resources, and other factors.</w:t>
      </w:r>
    </w:p>
    <w:p>
      <w:pPr>
        <w:spacing w:after="0" w:line="2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Item 1A. Risk Factors.</w:t>
      </w:r>
    </w:p>
    <w:p>
      <w:pPr>
        <w:spacing w:after="0" w:line="99" w:lineRule="exact"/>
        <w:rPr>
          <w:sz w:val="20"/>
          <w:szCs w:val="20"/>
          <w:color w:val="auto"/>
        </w:rPr>
      </w:pPr>
    </w:p>
    <w:p>
      <w:pPr>
        <w:ind w:left="640" w:right="719" w:firstLine="351"/>
        <w:spacing w:after="0" w:line="268" w:lineRule="auto"/>
        <w:rPr>
          <w:sz w:val="20"/>
          <w:szCs w:val="20"/>
          <w:color w:val="auto"/>
        </w:rPr>
      </w:pPr>
      <w:r>
        <w:rPr>
          <w:rFonts w:ascii="Times New Roman" w:cs="Times New Roman" w:eastAsia="Times New Roman" w:hAnsi="Times New Roman"/>
          <w:sz w:val="14"/>
          <w:szCs w:val="14"/>
          <w:color w:val="auto"/>
        </w:rPr>
        <w:t>There have been no material changes to the risk factors affecting our business, financial condition, or results of operations from those set forth under the heading “Summary Risk Factors” or in Part I, Item 1A. “Risk Factors” in our Annual Report on Form 10-K for the year ended December 31, 2025. Additional risks and uncertainties not currently known to us or that we currently deem to be immaterial may also materially adversely affect our business, financial condition, or results of operations.</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Item 2. Unregistered Sales of Equity Securities and Use of Proceeds.</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None.</w:t>
      </w:r>
    </w:p>
    <w:p>
      <w:pPr>
        <w:spacing w:after="0" w:line="26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Item 3. Defaults Upon Senior Securities.</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None.</w:t>
      </w:r>
    </w:p>
    <w:p>
      <w:pPr>
        <w:spacing w:after="0" w:line="26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Item 4. Mine Safety Disclosures.</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Not applicable.</w:t>
      </w:r>
    </w:p>
    <w:p>
      <w:pPr>
        <w:spacing w:after="0" w:line="26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Item 5. Other Information.</w:t>
      </w:r>
    </w:p>
    <w:p>
      <w:pPr>
        <w:spacing w:after="0" w:line="9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Security Trading Plans of Directors and Executive Officers</w:t>
      </w:r>
    </w:p>
    <w:p>
      <w:pPr>
        <w:spacing w:after="0" w:line="10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None.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68" w:right="1440" w:bottom="1440" w:gutter="0" w:footer="0" w:header="0"/>
        </w:sectPr>
      </w:pPr>
    </w:p>
    <w:bookmarkStart w:id="48" w:name="page49"/>
    <w:bookmarkEnd w:id="48"/>
    <w:p>
      <w:pPr>
        <w:ind w:left="640"/>
        <w:spacing w:after="0"/>
        <w:rPr>
          <w:sz w:val="20"/>
          <w:szCs w:val="20"/>
          <w:color w:val="auto"/>
        </w:rPr>
      </w:pPr>
      <w:r>
        <w:rPr>
          <w:rFonts w:ascii="Times New Roman" w:cs="Times New Roman" w:eastAsia="Times New Roman" w:hAnsi="Times New Roman"/>
          <w:sz w:val="14"/>
          <w:szCs w:val="14"/>
          <w:b w:val="1"/>
          <w:bCs w:val="1"/>
          <w:color w:val="auto"/>
        </w:rPr>
        <w:t>Item 6. Exhibits.</w:t>
      </w:r>
    </w:p>
    <w:p>
      <w:pPr>
        <w:spacing w:after="0" w:line="180" w:lineRule="exact"/>
        <w:rPr>
          <w:sz w:val="20"/>
          <w:szCs w:val="20"/>
          <w:color w:val="auto"/>
        </w:rPr>
      </w:pPr>
    </w:p>
    <w:tbl>
      <w:tblPr>
        <w:tblLayout w:type="fixed"/>
        <w:tblInd w:w="640" w:type="dxa"/>
        <w:tblCellMar>
          <w:top w:w="0" w:type="dxa"/>
          <w:left w:w="0" w:type="dxa"/>
          <w:bottom w:w="0" w:type="dxa"/>
          <w:right w:w="0" w:type="dxa"/>
        </w:tblCellMar>
      </w:tblPr>
      <w:tr>
        <w:trPr>
          <w:trHeight w:val="137"/>
        </w:trPr>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920" w:type="dxa"/>
            <w:vAlign w:val="bottom"/>
            <w:tcBorders>
              <w:bottom w:val="single" w:sz="8" w:color="auto"/>
            </w:tcBorders>
            <w:gridSpan w:val="5"/>
          </w:tcPr>
          <w:p>
            <w:pPr>
              <w:ind w:left="560"/>
              <w:spacing w:after="0"/>
              <w:rPr>
                <w:sz w:val="20"/>
                <w:szCs w:val="20"/>
                <w:color w:val="auto"/>
              </w:rPr>
            </w:pPr>
            <w:r>
              <w:rPr>
                <w:rFonts w:ascii="Times New Roman" w:cs="Times New Roman" w:eastAsia="Times New Roman" w:hAnsi="Times New Roman"/>
                <w:sz w:val="11"/>
                <w:szCs w:val="11"/>
                <w:b w:val="1"/>
                <w:bCs w:val="1"/>
                <w:color w:val="auto"/>
              </w:rPr>
              <w:t>Incorporated by Reference</w:t>
            </w:r>
          </w:p>
        </w:tc>
        <w:tc>
          <w:tcPr>
            <w:tcW w:w="0" w:type="dxa"/>
            <w:vAlign w:val="bottom"/>
          </w:tcPr>
          <w:p>
            <w:pPr>
              <w:spacing w:after="0"/>
              <w:rPr>
                <w:sz w:val="1"/>
                <w:szCs w:val="1"/>
                <w:color w:val="auto"/>
              </w:rPr>
            </w:pPr>
          </w:p>
        </w:tc>
      </w:tr>
      <w:tr>
        <w:trPr>
          <w:trHeight w:val="90"/>
        </w:trPr>
        <w:tc>
          <w:tcPr>
            <w:tcW w:w="5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340" w:type="dxa"/>
            <w:vAlign w:val="bottom"/>
            <w:gridSpan w:val="14"/>
            <w:vMerge w:val="restart"/>
          </w:tcPr>
          <w:p>
            <w:pPr>
              <w:ind w:left="260"/>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100" w:type="dxa"/>
            <w:vAlign w:val="bottom"/>
            <w:vMerge w:val="restart"/>
          </w:tcPr>
          <w:p>
            <w:pPr>
              <w:spacing w:after="0"/>
              <w:rPr>
                <w:sz w:val="7"/>
                <w:szCs w:val="7"/>
                <w:color w:val="auto"/>
              </w:rPr>
            </w:pPr>
          </w:p>
        </w:tc>
        <w:tc>
          <w:tcPr>
            <w:tcW w:w="4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Form</w:t>
            </w:r>
          </w:p>
        </w:tc>
        <w:tc>
          <w:tcPr>
            <w:tcW w:w="80" w:type="dxa"/>
            <w:vAlign w:val="bottom"/>
          </w:tcPr>
          <w:p>
            <w:pPr>
              <w:spacing w:after="0"/>
              <w:rPr>
                <w:sz w:val="7"/>
                <w:szCs w:val="7"/>
                <w:color w:val="auto"/>
              </w:rPr>
            </w:pP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1"/>
                <w:szCs w:val="11"/>
                <w:b w:val="1"/>
                <w:bCs w:val="1"/>
                <w:color w:val="auto"/>
              </w:rPr>
              <w:t>File No.</w:t>
            </w:r>
          </w:p>
        </w:tc>
        <w:tc>
          <w:tcPr>
            <w:tcW w:w="60" w:type="dxa"/>
            <w:vAlign w:val="bottom"/>
          </w:tcPr>
          <w:p>
            <w:pPr>
              <w:spacing w:after="0"/>
              <w:rPr>
                <w:sz w:val="7"/>
                <w:szCs w:val="7"/>
                <w:color w:val="auto"/>
              </w:rPr>
            </w:pPr>
          </w:p>
        </w:tc>
        <w:tc>
          <w:tcPr>
            <w:tcW w:w="4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80" w:type="dxa"/>
            <w:vAlign w:val="bottom"/>
          </w:tcPr>
          <w:p>
            <w:pPr>
              <w:spacing w:after="0"/>
              <w:rPr>
                <w:sz w:val="7"/>
                <w:szCs w:val="7"/>
                <w:color w:val="auto"/>
              </w:rPr>
            </w:pPr>
          </w:p>
        </w:tc>
        <w:tc>
          <w:tcPr>
            <w:tcW w:w="16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Filing Date</w:t>
            </w:r>
          </w:p>
        </w:tc>
        <w:tc>
          <w:tcPr>
            <w:tcW w:w="0" w:type="dxa"/>
            <w:vAlign w:val="bottom"/>
          </w:tcPr>
          <w:p>
            <w:pPr>
              <w:spacing w:after="0"/>
              <w:rPr>
                <w:sz w:val="1"/>
                <w:szCs w:val="1"/>
                <w:color w:val="auto"/>
              </w:rPr>
            </w:pPr>
          </w:p>
        </w:tc>
      </w:tr>
      <w:tr>
        <w:trPr>
          <w:trHeight w:val="137"/>
        </w:trPr>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10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340" w:type="dxa"/>
            <w:vAlign w:val="bottom"/>
            <w:tcBorders>
              <w:bottom w:val="single" w:sz="8" w:color="auto"/>
            </w:tcBorders>
            <w:gridSpan w:val="14"/>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420" w:type="dxa"/>
            <w:vAlign w:val="bottom"/>
            <w:tcBorders>
              <w:bottom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Borders>
              <w:bottom w:val="single" w:sz="8" w:color="auto"/>
            </w:tcBorders>
            <w:vMerge w:val="continue"/>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Borders>
              <w:bottom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160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7"/>
        </w:trPr>
        <w:tc>
          <w:tcPr>
            <w:tcW w:w="540" w:type="dxa"/>
            <w:vAlign w:val="bottom"/>
          </w:tcPr>
          <w:p>
            <w:pPr>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9"/>
                <w:szCs w:val="19"/>
                <w:color w:val="auto"/>
              </w:rPr>
            </w:pPr>
          </w:p>
        </w:tc>
        <w:tc>
          <w:tcPr>
            <w:tcW w:w="3680" w:type="dxa"/>
            <w:vAlign w:val="bottom"/>
            <w:gridSpan w:val="20"/>
          </w:tcPr>
          <w:p>
            <w:pPr>
              <w:spacing w:after="0"/>
              <w:rPr>
                <w:rFonts w:ascii="Times New Roman" w:cs="Times New Roman" w:eastAsia="Times New Roman" w:hAnsi="Times New Roman"/>
                <w:sz w:val="14"/>
                <w:szCs w:val="14"/>
                <w:color w:val="0000FF"/>
              </w:rPr>
            </w:pPr>
            <w:hyperlink r:id="rId430">
              <w:r>
                <w:rPr>
                  <w:rFonts w:ascii="Times New Roman" w:cs="Times New Roman" w:eastAsia="Times New Roman" w:hAnsi="Times New Roman"/>
                  <w:sz w:val="14"/>
                  <w:szCs w:val="14"/>
                  <w:color w:val="0000FF"/>
                </w:rPr>
                <w:t>Purchase Agreement, dated January 17, 2025, by and among</w:t>
              </w:r>
            </w:hyperlink>
          </w:p>
        </w:tc>
        <w:tc>
          <w:tcPr>
            <w:tcW w:w="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001-41938</w:t>
            </w:r>
          </w:p>
        </w:tc>
        <w:tc>
          <w:tcPr>
            <w:tcW w:w="4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2.1</w:t>
            </w:r>
          </w:p>
        </w:tc>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1/21/2025</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80" w:type="dxa"/>
            <w:vAlign w:val="bottom"/>
            <w:gridSpan w:val="20"/>
          </w:tcPr>
          <w:p>
            <w:pPr>
              <w:spacing w:after="0" w:line="152" w:lineRule="exact"/>
              <w:rPr>
                <w:rFonts w:ascii="Times New Roman" w:cs="Times New Roman" w:eastAsia="Times New Roman" w:hAnsi="Times New Roman"/>
                <w:sz w:val="14"/>
                <w:szCs w:val="14"/>
                <w:color w:val="0000FF"/>
              </w:rPr>
            </w:pPr>
            <w:hyperlink r:id="rId430">
              <w:r>
                <w:rPr>
                  <w:rFonts w:ascii="Times New Roman" w:cs="Times New Roman" w:eastAsia="Times New Roman" w:hAnsi="Times New Roman"/>
                  <w:sz w:val="14"/>
                  <w:szCs w:val="14"/>
                  <w:color w:val="0000FF"/>
                </w:rPr>
                <w:t>Res-Care, Inc., certain other affiliated entities, National Mentor</w:t>
              </w:r>
            </w:hyperlink>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80" w:type="dxa"/>
            <w:vAlign w:val="bottom"/>
            <w:gridSpan w:val="20"/>
          </w:tcPr>
          <w:p>
            <w:pPr>
              <w:spacing w:after="0" w:line="152" w:lineRule="exact"/>
              <w:rPr>
                <w:rFonts w:ascii="Times New Roman" w:cs="Times New Roman" w:eastAsia="Times New Roman" w:hAnsi="Times New Roman"/>
                <w:sz w:val="14"/>
                <w:szCs w:val="14"/>
                <w:color w:val="0000FF"/>
              </w:rPr>
            </w:pPr>
            <w:hyperlink r:id="rId430">
              <w:r>
                <w:rPr>
                  <w:rFonts w:ascii="Times New Roman" w:cs="Times New Roman" w:eastAsia="Times New Roman" w:hAnsi="Times New Roman"/>
                  <w:sz w:val="14"/>
                  <w:szCs w:val="14"/>
                  <w:color w:val="0000FF"/>
                </w:rPr>
                <w:t>Holdings, Inc., and BrightSpring Health Services, Inc. (solely</w:t>
              </w:r>
            </w:hyperlink>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80" w:type="dxa"/>
            <w:vAlign w:val="bottom"/>
            <w:gridSpan w:val="20"/>
          </w:tcPr>
          <w:p>
            <w:pPr>
              <w:spacing w:after="0" w:line="152" w:lineRule="exact"/>
              <w:rPr>
                <w:rFonts w:ascii="Times New Roman" w:cs="Times New Roman" w:eastAsia="Times New Roman" w:hAnsi="Times New Roman"/>
                <w:sz w:val="14"/>
                <w:szCs w:val="14"/>
                <w:color w:val="0000FF"/>
              </w:rPr>
            </w:pPr>
            <w:hyperlink r:id="rId430">
              <w:r>
                <w:rPr>
                  <w:rFonts w:ascii="Times New Roman" w:cs="Times New Roman" w:eastAsia="Times New Roman" w:hAnsi="Times New Roman"/>
                  <w:sz w:val="14"/>
                  <w:szCs w:val="14"/>
                  <w:color w:val="0000FF"/>
                </w:rPr>
                <w:t>for purposes of Section 5.24).</w:t>
              </w:r>
            </w:hyperlink>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4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3"/>
                <w:szCs w:val="13"/>
                <w:color w:val="auto"/>
              </w:rPr>
            </w:pPr>
          </w:p>
        </w:tc>
        <w:tc>
          <w:tcPr>
            <w:tcW w:w="3680" w:type="dxa"/>
            <w:vAlign w:val="bottom"/>
            <w:gridSpan w:val="20"/>
          </w:tcPr>
          <w:p>
            <w:pPr>
              <w:spacing w:after="0" w:line="152" w:lineRule="exact"/>
              <w:rPr>
                <w:rFonts w:ascii="Times New Roman" w:cs="Times New Roman" w:eastAsia="Times New Roman" w:hAnsi="Times New Roman"/>
                <w:sz w:val="14"/>
                <w:szCs w:val="14"/>
                <w:color w:val="0000FF"/>
              </w:rPr>
            </w:pPr>
            <w:hyperlink r:id="rId431">
              <w:r>
                <w:rPr>
                  <w:rFonts w:ascii="Times New Roman" w:cs="Times New Roman" w:eastAsia="Times New Roman" w:hAnsi="Times New Roman"/>
                  <w:sz w:val="14"/>
                  <w:szCs w:val="14"/>
                  <w:color w:val="0000FF"/>
                </w:rPr>
                <w:t>First Amendment to Purchase Agreement, dated December 5,</w:t>
              </w:r>
            </w:hyperlink>
          </w:p>
        </w:tc>
        <w:tc>
          <w:tcPr>
            <w:tcW w:w="42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color w:val="auto"/>
              </w:rPr>
              <w:t>10-K</w:t>
            </w:r>
          </w:p>
        </w:tc>
        <w:tc>
          <w:tcPr>
            <w:tcW w:w="840" w:type="dxa"/>
            <w:vAlign w:val="bottom"/>
            <w:gridSpan w:val="2"/>
          </w:tcPr>
          <w:p>
            <w:pPr>
              <w:jc w:val="center"/>
              <w:spacing w:after="0" w:line="152" w:lineRule="exact"/>
              <w:rPr>
                <w:sz w:val="20"/>
                <w:szCs w:val="20"/>
                <w:color w:val="auto"/>
              </w:rPr>
            </w:pPr>
            <w:r>
              <w:rPr>
                <w:rFonts w:ascii="Times New Roman" w:cs="Times New Roman" w:eastAsia="Times New Roman" w:hAnsi="Times New Roman"/>
                <w:sz w:val="14"/>
                <w:szCs w:val="14"/>
                <w:color w:val="auto"/>
              </w:rPr>
              <w:t>001-41938</w:t>
            </w:r>
          </w:p>
        </w:tc>
        <w:tc>
          <w:tcPr>
            <w:tcW w:w="480" w:type="dxa"/>
            <w:vAlign w:val="bottom"/>
            <w:gridSpan w:val="2"/>
          </w:tcPr>
          <w:p>
            <w:pPr>
              <w:jc w:val="center"/>
              <w:spacing w:after="0" w:line="152" w:lineRule="exact"/>
              <w:rPr>
                <w:sz w:val="20"/>
                <w:szCs w:val="20"/>
                <w:color w:val="auto"/>
              </w:rPr>
            </w:pPr>
            <w:r>
              <w:rPr>
                <w:rFonts w:ascii="Times New Roman" w:cs="Times New Roman" w:eastAsia="Times New Roman" w:hAnsi="Times New Roman"/>
                <w:sz w:val="14"/>
                <w:szCs w:val="14"/>
                <w:color w:val="auto"/>
              </w:rPr>
              <w:t>2.2</w:t>
            </w:r>
          </w:p>
        </w:tc>
        <w:tc>
          <w:tcPr>
            <w:tcW w:w="1680" w:type="dxa"/>
            <w:vAlign w:val="bottom"/>
            <w:gridSpan w:val="2"/>
          </w:tcPr>
          <w:p>
            <w:pPr>
              <w:jc w:val="center"/>
              <w:spacing w:after="0" w:line="152" w:lineRule="exact"/>
              <w:rPr>
                <w:sz w:val="20"/>
                <w:szCs w:val="20"/>
                <w:color w:val="auto"/>
              </w:rPr>
            </w:pPr>
            <w:r>
              <w:rPr>
                <w:rFonts w:ascii="Times New Roman" w:cs="Times New Roman" w:eastAsia="Times New Roman" w:hAnsi="Times New Roman"/>
                <w:sz w:val="14"/>
                <w:szCs w:val="14"/>
                <w:color w:val="auto"/>
              </w:rPr>
              <w:t>2/27/2026</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80" w:type="dxa"/>
            <w:vAlign w:val="bottom"/>
            <w:gridSpan w:val="20"/>
          </w:tcPr>
          <w:p>
            <w:pPr>
              <w:spacing w:after="0" w:line="152" w:lineRule="exact"/>
              <w:rPr>
                <w:rFonts w:ascii="Times New Roman" w:cs="Times New Roman" w:eastAsia="Times New Roman" w:hAnsi="Times New Roman"/>
                <w:sz w:val="14"/>
                <w:szCs w:val="14"/>
                <w:color w:val="0000FF"/>
              </w:rPr>
            </w:pPr>
            <w:hyperlink r:id="rId431">
              <w:r>
                <w:rPr>
                  <w:rFonts w:ascii="Times New Roman" w:cs="Times New Roman" w:eastAsia="Times New Roman" w:hAnsi="Times New Roman"/>
                  <w:sz w:val="14"/>
                  <w:szCs w:val="14"/>
                  <w:color w:val="0000FF"/>
                </w:rPr>
                <w:t>2025, by and among Res-Care, Inc., certain other affiliated</w:t>
              </w:r>
            </w:hyperlink>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80" w:type="dxa"/>
            <w:vAlign w:val="bottom"/>
            <w:gridSpan w:val="20"/>
          </w:tcPr>
          <w:p>
            <w:pPr>
              <w:spacing w:after="0" w:line="152" w:lineRule="exact"/>
              <w:rPr>
                <w:rFonts w:ascii="Times New Roman" w:cs="Times New Roman" w:eastAsia="Times New Roman" w:hAnsi="Times New Roman"/>
                <w:sz w:val="14"/>
                <w:szCs w:val="14"/>
                <w:color w:val="0000FF"/>
              </w:rPr>
            </w:pPr>
            <w:hyperlink r:id="rId431">
              <w:r>
                <w:rPr>
                  <w:rFonts w:ascii="Times New Roman" w:cs="Times New Roman" w:eastAsia="Times New Roman" w:hAnsi="Times New Roman"/>
                  <w:sz w:val="14"/>
                  <w:szCs w:val="14"/>
                  <w:color w:val="0000FF"/>
                </w:rPr>
                <w:t>entities, National Mentor Holdings, Inc., and BrightSpring</w:t>
              </w:r>
            </w:hyperlink>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80" w:type="dxa"/>
            <w:vAlign w:val="bottom"/>
            <w:gridSpan w:val="20"/>
          </w:tcPr>
          <w:p>
            <w:pPr>
              <w:spacing w:after="0" w:line="152" w:lineRule="exact"/>
              <w:rPr>
                <w:rFonts w:ascii="Times New Roman" w:cs="Times New Roman" w:eastAsia="Times New Roman" w:hAnsi="Times New Roman"/>
                <w:sz w:val="14"/>
                <w:szCs w:val="14"/>
                <w:color w:val="0000FF"/>
              </w:rPr>
            </w:pPr>
            <w:hyperlink r:id="rId431">
              <w:r>
                <w:rPr>
                  <w:rFonts w:ascii="Times New Roman" w:cs="Times New Roman" w:eastAsia="Times New Roman" w:hAnsi="Times New Roman"/>
                  <w:sz w:val="14"/>
                  <w:szCs w:val="14"/>
                  <w:color w:val="0000FF"/>
                </w:rPr>
                <w:t>Health Services, Inc.</w:t>
              </w:r>
            </w:hyperlink>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4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3"/>
                <w:szCs w:val="13"/>
                <w:color w:val="auto"/>
              </w:rPr>
            </w:pPr>
          </w:p>
        </w:tc>
        <w:tc>
          <w:tcPr>
            <w:tcW w:w="3680" w:type="dxa"/>
            <w:vAlign w:val="bottom"/>
            <w:gridSpan w:val="20"/>
          </w:tcPr>
          <w:p>
            <w:pPr>
              <w:spacing w:after="0" w:line="152" w:lineRule="exact"/>
              <w:rPr>
                <w:rFonts w:ascii="Times New Roman" w:cs="Times New Roman" w:eastAsia="Times New Roman" w:hAnsi="Times New Roman"/>
                <w:sz w:val="14"/>
                <w:szCs w:val="14"/>
                <w:color w:val="0000FF"/>
              </w:rPr>
            </w:pPr>
            <w:hyperlink r:id="rId432">
              <w:r>
                <w:rPr>
                  <w:rFonts w:ascii="Times New Roman" w:cs="Times New Roman" w:eastAsia="Times New Roman" w:hAnsi="Times New Roman"/>
                  <w:sz w:val="14"/>
                  <w:szCs w:val="14"/>
                  <w:color w:val="0000FF"/>
                </w:rPr>
                <w:t>Second Amended and Restated Certificate of Incorporation of</w:t>
              </w:r>
            </w:hyperlink>
          </w:p>
        </w:tc>
        <w:tc>
          <w:tcPr>
            <w:tcW w:w="42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color w:val="auto"/>
              </w:rPr>
              <w:t>8-K</w:t>
            </w:r>
          </w:p>
        </w:tc>
        <w:tc>
          <w:tcPr>
            <w:tcW w:w="840" w:type="dxa"/>
            <w:vAlign w:val="bottom"/>
            <w:gridSpan w:val="2"/>
          </w:tcPr>
          <w:p>
            <w:pPr>
              <w:jc w:val="center"/>
              <w:spacing w:after="0" w:line="152" w:lineRule="exact"/>
              <w:rPr>
                <w:sz w:val="20"/>
                <w:szCs w:val="20"/>
                <w:color w:val="auto"/>
              </w:rPr>
            </w:pPr>
            <w:r>
              <w:rPr>
                <w:rFonts w:ascii="Times New Roman" w:cs="Times New Roman" w:eastAsia="Times New Roman" w:hAnsi="Times New Roman"/>
                <w:sz w:val="14"/>
                <w:szCs w:val="14"/>
                <w:color w:val="auto"/>
              </w:rPr>
              <w:t>001-41938</w:t>
            </w:r>
          </w:p>
        </w:tc>
        <w:tc>
          <w:tcPr>
            <w:tcW w:w="480" w:type="dxa"/>
            <w:vAlign w:val="bottom"/>
            <w:gridSpan w:val="2"/>
          </w:tcPr>
          <w:p>
            <w:pPr>
              <w:jc w:val="center"/>
              <w:spacing w:after="0" w:line="152" w:lineRule="exact"/>
              <w:rPr>
                <w:sz w:val="20"/>
                <w:szCs w:val="20"/>
                <w:color w:val="auto"/>
              </w:rPr>
            </w:pPr>
            <w:r>
              <w:rPr>
                <w:rFonts w:ascii="Times New Roman" w:cs="Times New Roman" w:eastAsia="Times New Roman" w:hAnsi="Times New Roman"/>
                <w:sz w:val="14"/>
                <w:szCs w:val="14"/>
                <w:color w:val="auto"/>
              </w:rPr>
              <w:t>3.1</w:t>
            </w:r>
          </w:p>
        </w:tc>
        <w:tc>
          <w:tcPr>
            <w:tcW w:w="1680" w:type="dxa"/>
            <w:vAlign w:val="bottom"/>
            <w:gridSpan w:val="2"/>
          </w:tcPr>
          <w:p>
            <w:pPr>
              <w:jc w:val="center"/>
              <w:spacing w:after="0" w:line="152" w:lineRule="exact"/>
              <w:rPr>
                <w:sz w:val="20"/>
                <w:szCs w:val="20"/>
                <w:color w:val="auto"/>
              </w:rPr>
            </w:pPr>
            <w:r>
              <w:rPr>
                <w:rFonts w:ascii="Times New Roman" w:cs="Times New Roman" w:eastAsia="Times New Roman" w:hAnsi="Times New Roman"/>
                <w:sz w:val="14"/>
                <w:szCs w:val="14"/>
                <w:color w:val="auto"/>
              </w:rPr>
              <w:t>1/30/2024</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80" w:type="dxa"/>
            <w:vAlign w:val="bottom"/>
            <w:gridSpan w:val="20"/>
          </w:tcPr>
          <w:p>
            <w:pPr>
              <w:spacing w:after="0" w:line="152" w:lineRule="exact"/>
              <w:rPr>
                <w:rFonts w:ascii="Times New Roman" w:cs="Times New Roman" w:eastAsia="Times New Roman" w:hAnsi="Times New Roman"/>
                <w:sz w:val="14"/>
                <w:szCs w:val="14"/>
                <w:color w:val="0000FF"/>
              </w:rPr>
            </w:pPr>
            <w:hyperlink r:id="rId432">
              <w:r>
                <w:rPr>
                  <w:rFonts w:ascii="Times New Roman" w:cs="Times New Roman" w:eastAsia="Times New Roman" w:hAnsi="Times New Roman"/>
                  <w:sz w:val="14"/>
                  <w:szCs w:val="14"/>
                  <w:color w:val="0000FF"/>
                </w:rPr>
                <w:t>BrightSpring Health Services, Inc.</w:t>
              </w:r>
            </w:hyperlink>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4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3"/>
                <w:szCs w:val="13"/>
                <w:color w:val="auto"/>
              </w:rPr>
            </w:pPr>
          </w:p>
        </w:tc>
        <w:tc>
          <w:tcPr>
            <w:tcW w:w="3680" w:type="dxa"/>
            <w:vAlign w:val="bottom"/>
            <w:gridSpan w:val="20"/>
          </w:tcPr>
          <w:p>
            <w:pPr>
              <w:spacing w:after="0" w:line="152" w:lineRule="exact"/>
              <w:rPr>
                <w:rFonts w:ascii="Times New Roman" w:cs="Times New Roman" w:eastAsia="Times New Roman" w:hAnsi="Times New Roman"/>
                <w:sz w:val="14"/>
                <w:szCs w:val="14"/>
                <w:color w:val="0000FF"/>
              </w:rPr>
            </w:pPr>
            <w:hyperlink r:id="rId433">
              <w:r>
                <w:rPr>
                  <w:rFonts w:ascii="Times New Roman" w:cs="Times New Roman" w:eastAsia="Times New Roman" w:hAnsi="Times New Roman"/>
                  <w:sz w:val="14"/>
                  <w:szCs w:val="14"/>
                  <w:color w:val="0000FF"/>
                </w:rPr>
                <w:t>Amended and Restated Bylaws of BrightSpring Health</w:t>
              </w:r>
            </w:hyperlink>
          </w:p>
        </w:tc>
        <w:tc>
          <w:tcPr>
            <w:tcW w:w="42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color w:val="auto"/>
              </w:rPr>
              <w:t>8-K</w:t>
            </w:r>
          </w:p>
        </w:tc>
        <w:tc>
          <w:tcPr>
            <w:tcW w:w="840" w:type="dxa"/>
            <w:vAlign w:val="bottom"/>
            <w:gridSpan w:val="2"/>
          </w:tcPr>
          <w:p>
            <w:pPr>
              <w:jc w:val="center"/>
              <w:spacing w:after="0" w:line="152" w:lineRule="exact"/>
              <w:rPr>
                <w:sz w:val="20"/>
                <w:szCs w:val="20"/>
                <w:color w:val="auto"/>
              </w:rPr>
            </w:pPr>
            <w:r>
              <w:rPr>
                <w:rFonts w:ascii="Times New Roman" w:cs="Times New Roman" w:eastAsia="Times New Roman" w:hAnsi="Times New Roman"/>
                <w:sz w:val="14"/>
                <w:szCs w:val="14"/>
                <w:color w:val="auto"/>
              </w:rPr>
              <w:t>001-41938</w:t>
            </w:r>
          </w:p>
        </w:tc>
        <w:tc>
          <w:tcPr>
            <w:tcW w:w="480" w:type="dxa"/>
            <w:vAlign w:val="bottom"/>
            <w:gridSpan w:val="2"/>
          </w:tcPr>
          <w:p>
            <w:pPr>
              <w:jc w:val="center"/>
              <w:spacing w:after="0" w:line="152" w:lineRule="exact"/>
              <w:rPr>
                <w:sz w:val="20"/>
                <w:szCs w:val="20"/>
                <w:color w:val="auto"/>
              </w:rPr>
            </w:pPr>
            <w:r>
              <w:rPr>
                <w:rFonts w:ascii="Times New Roman" w:cs="Times New Roman" w:eastAsia="Times New Roman" w:hAnsi="Times New Roman"/>
                <w:sz w:val="14"/>
                <w:szCs w:val="14"/>
                <w:color w:val="auto"/>
              </w:rPr>
              <w:t>3.2</w:t>
            </w:r>
          </w:p>
        </w:tc>
        <w:tc>
          <w:tcPr>
            <w:tcW w:w="1680" w:type="dxa"/>
            <w:vAlign w:val="bottom"/>
            <w:gridSpan w:val="2"/>
          </w:tcPr>
          <w:p>
            <w:pPr>
              <w:jc w:val="center"/>
              <w:spacing w:after="0" w:line="152" w:lineRule="exact"/>
              <w:rPr>
                <w:sz w:val="20"/>
                <w:szCs w:val="20"/>
                <w:color w:val="auto"/>
              </w:rPr>
            </w:pPr>
            <w:r>
              <w:rPr>
                <w:rFonts w:ascii="Times New Roman" w:cs="Times New Roman" w:eastAsia="Times New Roman" w:hAnsi="Times New Roman"/>
                <w:sz w:val="14"/>
                <w:szCs w:val="14"/>
                <w:color w:val="auto"/>
              </w:rPr>
              <w:t>1/30/2024</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80" w:type="dxa"/>
            <w:vAlign w:val="bottom"/>
            <w:gridSpan w:val="20"/>
          </w:tcPr>
          <w:p>
            <w:pPr>
              <w:spacing w:after="0" w:line="152" w:lineRule="exact"/>
              <w:rPr>
                <w:rFonts w:ascii="Times New Roman" w:cs="Times New Roman" w:eastAsia="Times New Roman" w:hAnsi="Times New Roman"/>
                <w:sz w:val="14"/>
                <w:szCs w:val="14"/>
                <w:color w:val="0000FF"/>
              </w:rPr>
            </w:pPr>
            <w:hyperlink r:id="rId433">
              <w:r>
                <w:rPr>
                  <w:rFonts w:ascii="Times New Roman" w:cs="Times New Roman" w:eastAsia="Times New Roman" w:hAnsi="Times New Roman"/>
                  <w:sz w:val="14"/>
                  <w:szCs w:val="14"/>
                  <w:color w:val="0000FF"/>
                </w:rPr>
                <w:t>Services, Inc.</w:t>
              </w:r>
            </w:hyperlink>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4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4.1</w:t>
            </w:r>
          </w:p>
        </w:tc>
        <w:tc>
          <w:tcPr>
            <w:tcW w:w="100" w:type="dxa"/>
            <w:vAlign w:val="bottom"/>
          </w:tcPr>
          <w:p>
            <w:pPr>
              <w:spacing w:after="0"/>
              <w:rPr>
                <w:sz w:val="13"/>
                <w:szCs w:val="13"/>
                <w:color w:val="auto"/>
              </w:rPr>
            </w:pPr>
          </w:p>
        </w:tc>
        <w:tc>
          <w:tcPr>
            <w:tcW w:w="3680" w:type="dxa"/>
            <w:vAlign w:val="bottom"/>
            <w:gridSpan w:val="20"/>
          </w:tcPr>
          <w:p>
            <w:pPr>
              <w:spacing w:after="0" w:line="152" w:lineRule="exact"/>
              <w:rPr>
                <w:rFonts w:ascii="Times New Roman" w:cs="Times New Roman" w:eastAsia="Times New Roman" w:hAnsi="Times New Roman"/>
                <w:sz w:val="14"/>
                <w:szCs w:val="14"/>
                <w:color w:val="0000FF"/>
              </w:rPr>
            </w:pPr>
            <w:hyperlink r:id="rId434">
              <w:r>
                <w:rPr>
                  <w:rFonts w:ascii="Times New Roman" w:cs="Times New Roman" w:eastAsia="Times New Roman" w:hAnsi="Times New Roman"/>
                  <w:sz w:val="14"/>
                  <w:szCs w:val="14"/>
                  <w:color w:val="0000FF"/>
                </w:rPr>
                <w:t>Purchase Contract Agreement, dated as of January 30, 2024,</w:t>
              </w:r>
            </w:hyperlink>
          </w:p>
        </w:tc>
        <w:tc>
          <w:tcPr>
            <w:tcW w:w="42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color w:val="auto"/>
              </w:rPr>
              <w:t>8-K</w:t>
            </w:r>
          </w:p>
        </w:tc>
        <w:tc>
          <w:tcPr>
            <w:tcW w:w="840" w:type="dxa"/>
            <w:vAlign w:val="bottom"/>
            <w:gridSpan w:val="2"/>
          </w:tcPr>
          <w:p>
            <w:pPr>
              <w:jc w:val="center"/>
              <w:spacing w:after="0" w:line="152" w:lineRule="exact"/>
              <w:rPr>
                <w:sz w:val="20"/>
                <w:szCs w:val="20"/>
                <w:color w:val="auto"/>
              </w:rPr>
            </w:pPr>
            <w:r>
              <w:rPr>
                <w:rFonts w:ascii="Times New Roman" w:cs="Times New Roman" w:eastAsia="Times New Roman" w:hAnsi="Times New Roman"/>
                <w:sz w:val="14"/>
                <w:szCs w:val="14"/>
                <w:color w:val="auto"/>
              </w:rPr>
              <w:t>001-41938</w:t>
            </w:r>
          </w:p>
        </w:tc>
        <w:tc>
          <w:tcPr>
            <w:tcW w:w="480" w:type="dxa"/>
            <w:vAlign w:val="bottom"/>
            <w:gridSpan w:val="2"/>
          </w:tcPr>
          <w:p>
            <w:pPr>
              <w:jc w:val="center"/>
              <w:spacing w:after="0" w:line="152" w:lineRule="exact"/>
              <w:rPr>
                <w:sz w:val="20"/>
                <w:szCs w:val="20"/>
                <w:color w:val="auto"/>
              </w:rPr>
            </w:pPr>
            <w:r>
              <w:rPr>
                <w:rFonts w:ascii="Times New Roman" w:cs="Times New Roman" w:eastAsia="Times New Roman" w:hAnsi="Times New Roman"/>
                <w:sz w:val="14"/>
                <w:szCs w:val="14"/>
                <w:color w:val="auto"/>
              </w:rPr>
              <w:t>4.1</w:t>
            </w:r>
          </w:p>
        </w:tc>
        <w:tc>
          <w:tcPr>
            <w:tcW w:w="1680" w:type="dxa"/>
            <w:vAlign w:val="bottom"/>
            <w:gridSpan w:val="2"/>
          </w:tcPr>
          <w:p>
            <w:pPr>
              <w:jc w:val="center"/>
              <w:spacing w:after="0" w:line="152" w:lineRule="exact"/>
              <w:rPr>
                <w:sz w:val="20"/>
                <w:szCs w:val="20"/>
                <w:color w:val="auto"/>
              </w:rPr>
            </w:pPr>
            <w:r>
              <w:rPr>
                <w:rFonts w:ascii="Times New Roman" w:cs="Times New Roman" w:eastAsia="Times New Roman" w:hAnsi="Times New Roman"/>
                <w:sz w:val="14"/>
                <w:szCs w:val="14"/>
                <w:color w:val="auto"/>
              </w:rPr>
              <w:t>1/30/2024</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80" w:type="dxa"/>
            <w:vAlign w:val="bottom"/>
            <w:gridSpan w:val="20"/>
          </w:tcPr>
          <w:p>
            <w:pPr>
              <w:spacing w:after="0" w:line="152" w:lineRule="exact"/>
              <w:rPr>
                <w:rFonts w:ascii="Times New Roman" w:cs="Times New Roman" w:eastAsia="Times New Roman" w:hAnsi="Times New Roman"/>
                <w:sz w:val="14"/>
                <w:szCs w:val="14"/>
                <w:color w:val="0000FF"/>
              </w:rPr>
            </w:pPr>
            <w:hyperlink r:id="rId434">
              <w:r>
                <w:rPr>
                  <w:rFonts w:ascii="Times New Roman" w:cs="Times New Roman" w:eastAsia="Times New Roman" w:hAnsi="Times New Roman"/>
                  <w:sz w:val="14"/>
                  <w:szCs w:val="14"/>
                  <w:color w:val="0000FF"/>
                </w:rPr>
                <w:t>between BrightSpring Health Services, Inc. and U.S. Bank</w:t>
              </w:r>
            </w:hyperlink>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80" w:type="dxa"/>
            <w:vAlign w:val="bottom"/>
            <w:gridSpan w:val="20"/>
          </w:tcPr>
          <w:p>
            <w:pPr>
              <w:spacing w:after="0" w:line="152" w:lineRule="exact"/>
              <w:rPr>
                <w:rFonts w:ascii="Times New Roman" w:cs="Times New Roman" w:eastAsia="Times New Roman" w:hAnsi="Times New Roman"/>
                <w:sz w:val="14"/>
                <w:szCs w:val="14"/>
                <w:color w:val="0000FF"/>
              </w:rPr>
            </w:pPr>
            <w:hyperlink r:id="rId434">
              <w:r>
                <w:rPr>
                  <w:rFonts w:ascii="Times New Roman" w:cs="Times New Roman" w:eastAsia="Times New Roman" w:hAnsi="Times New Roman"/>
                  <w:sz w:val="14"/>
                  <w:szCs w:val="14"/>
                  <w:color w:val="0000FF"/>
                </w:rPr>
                <w:t>Trust Company, National Association, as purchase contract</w:t>
              </w:r>
            </w:hyperlink>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80" w:type="dxa"/>
            <w:vAlign w:val="bottom"/>
            <w:gridSpan w:val="20"/>
          </w:tcPr>
          <w:p>
            <w:pPr>
              <w:spacing w:after="0" w:line="152" w:lineRule="exact"/>
              <w:rPr>
                <w:rFonts w:ascii="Times New Roman" w:cs="Times New Roman" w:eastAsia="Times New Roman" w:hAnsi="Times New Roman"/>
                <w:sz w:val="14"/>
                <w:szCs w:val="14"/>
                <w:color w:val="0000FF"/>
              </w:rPr>
            </w:pPr>
            <w:hyperlink r:id="rId434">
              <w:r>
                <w:rPr>
                  <w:rFonts w:ascii="Times New Roman" w:cs="Times New Roman" w:eastAsia="Times New Roman" w:hAnsi="Times New Roman"/>
                  <w:sz w:val="14"/>
                  <w:szCs w:val="14"/>
                  <w:color w:val="0000FF"/>
                </w:rPr>
                <w:t>agent, as attorney-in-fact for the Holders from time to time as</w:t>
              </w:r>
            </w:hyperlink>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80" w:type="dxa"/>
            <w:vAlign w:val="bottom"/>
            <w:gridSpan w:val="20"/>
          </w:tcPr>
          <w:p>
            <w:pPr>
              <w:spacing w:after="0" w:line="152" w:lineRule="exact"/>
              <w:rPr>
                <w:rFonts w:ascii="Times New Roman" w:cs="Times New Roman" w:eastAsia="Times New Roman" w:hAnsi="Times New Roman"/>
                <w:sz w:val="14"/>
                <w:szCs w:val="14"/>
                <w:color w:val="0000FF"/>
              </w:rPr>
            </w:pPr>
            <w:hyperlink r:id="rId434">
              <w:r>
                <w:rPr>
                  <w:rFonts w:ascii="Times New Roman" w:cs="Times New Roman" w:eastAsia="Times New Roman" w:hAnsi="Times New Roman"/>
                  <w:sz w:val="14"/>
                  <w:szCs w:val="14"/>
                  <w:color w:val="0000FF"/>
                </w:rPr>
                <w:t>provided therein and as trustee under the indenture referred to</w:t>
              </w:r>
            </w:hyperlink>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80" w:type="dxa"/>
            <w:vAlign w:val="bottom"/>
            <w:gridSpan w:val="20"/>
          </w:tcPr>
          <w:p>
            <w:pPr>
              <w:spacing w:after="0" w:line="152" w:lineRule="exact"/>
              <w:rPr>
                <w:rFonts w:ascii="Times New Roman" w:cs="Times New Roman" w:eastAsia="Times New Roman" w:hAnsi="Times New Roman"/>
                <w:sz w:val="14"/>
                <w:szCs w:val="14"/>
                <w:color w:val="0000FF"/>
              </w:rPr>
            </w:pPr>
            <w:hyperlink r:id="rId434">
              <w:r>
                <w:rPr>
                  <w:rFonts w:ascii="Times New Roman" w:cs="Times New Roman" w:eastAsia="Times New Roman" w:hAnsi="Times New Roman"/>
                  <w:sz w:val="14"/>
                  <w:szCs w:val="14"/>
                  <w:color w:val="0000FF"/>
                </w:rPr>
                <w:t>therein.</w:t>
              </w:r>
            </w:hyperlink>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420" w:type="dxa"/>
            <w:vAlign w:val="bottom"/>
            <w:tcBorders>
              <w:right w:val="single" w:sz="8" w:color="0000EE"/>
            </w:tcBorders>
            <w:shd w:val="clear" w:color="auto" w:fill="0000FF"/>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4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13"/>
                <w:szCs w:val="13"/>
                <w:color w:val="auto"/>
              </w:rPr>
            </w:pPr>
          </w:p>
        </w:tc>
        <w:tc>
          <w:tcPr>
            <w:tcW w:w="3680" w:type="dxa"/>
            <w:vAlign w:val="bottom"/>
            <w:gridSpan w:val="20"/>
          </w:tcPr>
          <w:p>
            <w:pPr>
              <w:spacing w:after="0" w:line="152" w:lineRule="exact"/>
              <w:rPr>
                <w:rFonts w:ascii="Times New Roman" w:cs="Times New Roman" w:eastAsia="Times New Roman" w:hAnsi="Times New Roman"/>
                <w:sz w:val="14"/>
                <w:szCs w:val="14"/>
                <w:color w:val="0000FF"/>
              </w:rPr>
            </w:pPr>
            <w:hyperlink r:id="rId434">
              <w:r>
                <w:rPr>
                  <w:rFonts w:ascii="Times New Roman" w:cs="Times New Roman" w:eastAsia="Times New Roman" w:hAnsi="Times New Roman"/>
                  <w:sz w:val="14"/>
                  <w:szCs w:val="14"/>
                  <w:color w:val="0000FF"/>
                </w:rPr>
                <w:t>Form of Unit (included in Exhibit 4.1).</w:t>
              </w:r>
            </w:hyperlink>
          </w:p>
        </w:tc>
        <w:tc>
          <w:tcPr>
            <w:tcW w:w="42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color w:val="auto"/>
              </w:rPr>
              <w:t>8-K</w:t>
            </w:r>
          </w:p>
        </w:tc>
        <w:tc>
          <w:tcPr>
            <w:tcW w:w="840" w:type="dxa"/>
            <w:vAlign w:val="bottom"/>
            <w:gridSpan w:val="2"/>
          </w:tcPr>
          <w:p>
            <w:pPr>
              <w:jc w:val="center"/>
              <w:spacing w:after="0" w:line="152" w:lineRule="exact"/>
              <w:rPr>
                <w:sz w:val="20"/>
                <w:szCs w:val="20"/>
                <w:color w:val="auto"/>
              </w:rPr>
            </w:pPr>
            <w:r>
              <w:rPr>
                <w:rFonts w:ascii="Times New Roman" w:cs="Times New Roman" w:eastAsia="Times New Roman" w:hAnsi="Times New Roman"/>
                <w:sz w:val="14"/>
                <w:szCs w:val="14"/>
                <w:color w:val="auto"/>
              </w:rPr>
              <w:t>001-41938</w:t>
            </w:r>
          </w:p>
        </w:tc>
        <w:tc>
          <w:tcPr>
            <w:tcW w:w="480" w:type="dxa"/>
            <w:vAlign w:val="bottom"/>
            <w:gridSpan w:val="2"/>
          </w:tcPr>
          <w:p>
            <w:pPr>
              <w:jc w:val="center"/>
              <w:spacing w:after="0" w:line="152" w:lineRule="exact"/>
              <w:rPr>
                <w:sz w:val="20"/>
                <w:szCs w:val="20"/>
                <w:color w:val="auto"/>
              </w:rPr>
            </w:pPr>
            <w:r>
              <w:rPr>
                <w:rFonts w:ascii="Times New Roman" w:cs="Times New Roman" w:eastAsia="Times New Roman" w:hAnsi="Times New Roman"/>
                <w:sz w:val="14"/>
                <w:szCs w:val="14"/>
                <w:color w:val="auto"/>
              </w:rPr>
              <w:t>4.2</w:t>
            </w:r>
          </w:p>
        </w:tc>
        <w:tc>
          <w:tcPr>
            <w:tcW w:w="1680" w:type="dxa"/>
            <w:vAlign w:val="bottom"/>
            <w:gridSpan w:val="2"/>
          </w:tcPr>
          <w:p>
            <w:pPr>
              <w:jc w:val="center"/>
              <w:spacing w:after="0" w:line="152" w:lineRule="exact"/>
              <w:rPr>
                <w:sz w:val="20"/>
                <w:szCs w:val="20"/>
                <w:color w:val="auto"/>
              </w:rPr>
            </w:pPr>
            <w:r>
              <w:rPr>
                <w:rFonts w:ascii="Times New Roman" w:cs="Times New Roman" w:eastAsia="Times New Roman" w:hAnsi="Times New Roman"/>
                <w:sz w:val="14"/>
                <w:szCs w:val="14"/>
                <w:color w:val="auto"/>
              </w:rPr>
              <w:t>1/30/2024</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110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4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4.3</w:t>
            </w:r>
          </w:p>
        </w:tc>
        <w:tc>
          <w:tcPr>
            <w:tcW w:w="100" w:type="dxa"/>
            <w:vAlign w:val="bottom"/>
          </w:tcPr>
          <w:p>
            <w:pPr>
              <w:spacing w:after="0"/>
              <w:rPr>
                <w:sz w:val="13"/>
                <w:szCs w:val="13"/>
                <w:color w:val="auto"/>
              </w:rPr>
            </w:pPr>
          </w:p>
        </w:tc>
        <w:tc>
          <w:tcPr>
            <w:tcW w:w="3680" w:type="dxa"/>
            <w:vAlign w:val="bottom"/>
            <w:gridSpan w:val="20"/>
          </w:tcPr>
          <w:p>
            <w:pPr>
              <w:spacing w:after="0" w:line="152" w:lineRule="exact"/>
              <w:rPr>
                <w:rFonts w:ascii="Times New Roman" w:cs="Times New Roman" w:eastAsia="Times New Roman" w:hAnsi="Times New Roman"/>
                <w:sz w:val="14"/>
                <w:szCs w:val="14"/>
                <w:color w:val="0000FF"/>
              </w:rPr>
            </w:pPr>
            <w:hyperlink r:id="rId434">
              <w:r>
                <w:rPr>
                  <w:rFonts w:ascii="Times New Roman" w:cs="Times New Roman" w:eastAsia="Times New Roman" w:hAnsi="Times New Roman"/>
                  <w:sz w:val="14"/>
                  <w:szCs w:val="14"/>
                  <w:color w:val="0000FF"/>
                </w:rPr>
                <w:t>Form of Purchase Contract (included in Exhibit 4.1).</w:t>
              </w:r>
            </w:hyperlink>
          </w:p>
        </w:tc>
        <w:tc>
          <w:tcPr>
            <w:tcW w:w="42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color w:val="auto"/>
              </w:rPr>
              <w:t>8-K</w:t>
            </w:r>
          </w:p>
        </w:tc>
        <w:tc>
          <w:tcPr>
            <w:tcW w:w="840" w:type="dxa"/>
            <w:vAlign w:val="bottom"/>
            <w:gridSpan w:val="2"/>
          </w:tcPr>
          <w:p>
            <w:pPr>
              <w:jc w:val="center"/>
              <w:spacing w:after="0" w:line="152" w:lineRule="exact"/>
              <w:rPr>
                <w:sz w:val="20"/>
                <w:szCs w:val="20"/>
                <w:color w:val="auto"/>
              </w:rPr>
            </w:pPr>
            <w:r>
              <w:rPr>
                <w:rFonts w:ascii="Times New Roman" w:cs="Times New Roman" w:eastAsia="Times New Roman" w:hAnsi="Times New Roman"/>
                <w:sz w:val="14"/>
                <w:szCs w:val="14"/>
                <w:color w:val="auto"/>
              </w:rPr>
              <w:t>001-41938</w:t>
            </w:r>
          </w:p>
        </w:tc>
        <w:tc>
          <w:tcPr>
            <w:tcW w:w="480" w:type="dxa"/>
            <w:vAlign w:val="bottom"/>
            <w:gridSpan w:val="2"/>
          </w:tcPr>
          <w:p>
            <w:pPr>
              <w:jc w:val="center"/>
              <w:spacing w:after="0" w:line="152" w:lineRule="exact"/>
              <w:rPr>
                <w:sz w:val="20"/>
                <w:szCs w:val="20"/>
                <w:color w:val="auto"/>
              </w:rPr>
            </w:pPr>
            <w:r>
              <w:rPr>
                <w:rFonts w:ascii="Times New Roman" w:cs="Times New Roman" w:eastAsia="Times New Roman" w:hAnsi="Times New Roman"/>
                <w:sz w:val="14"/>
                <w:szCs w:val="14"/>
                <w:color w:val="auto"/>
              </w:rPr>
              <w:t>4.3</w:t>
            </w:r>
          </w:p>
        </w:tc>
        <w:tc>
          <w:tcPr>
            <w:tcW w:w="1680" w:type="dxa"/>
            <w:vAlign w:val="bottom"/>
            <w:gridSpan w:val="2"/>
          </w:tcPr>
          <w:p>
            <w:pPr>
              <w:jc w:val="center"/>
              <w:spacing w:after="0" w:line="152" w:lineRule="exact"/>
              <w:rPr>
                <w:sz w:val="20"/>
                <w:szCs w:val="20"/>
                <w:color w:val="auto"/>
              </w:rPr>
            </w:pPr>
            <w:r>
              <w:rPr>
                <w:rFonts w:ascii="Times New Roman" w:cs="Times New Roman" w:eastAsia="Times New Roman" w:hAnsi="Times New Roman"/>
                <w:sz w:val="14"/>
                <w:szCs w:val="14"/>
                <w:color w:val="auto"/>
              </w:rPr>
              <w:t>1/30/2024</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110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4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4.4</w:t>
            </w:r>
          </w:p>
        </w:tc>
        <w:tc>
          <w:tcPr>
            <w:tcW w:w="100" w:type="dxa"/>
            <w:vAlign w:val="bottom"/>
          </w:tcPr>
          <w:p>
            <w:pPr>
              <w:spacing w:after="0"/>
              <w:rPr>
                <w:sz w:val="13"/>
                <w:szCs w:val="13"/>
                <w:color w:val="auto"/>
              </w:rPr>
            </w:pPr>
          </w:p>
        </w:tc>
        <w:tc>
          <w:tcPr>
            <w:tcW w:w="3680" w:type="dxa"/>
            <w:vAlign w:val="bottom"/>
            <w:gridSpan w:val="20"/>
          </w:tcPr>
          <w:p>
            <w:pPr>
              <w:spacing w:after="0" w:line="152" w:lineRule="exact"/>
              <w:rPr>
                <w:rFonts w:ascii="Times New Roman" w:cs="Times New Roman" w:eastAsia="Times New Roman" w:hAnsi="Times New Roman"/>
                <w:sz w:val="14"/>
                <w:szCs w:val="14"/>
                <w:color w:val="0000FF"/>
              </w:rPr>
            </w:pPr>
            <w:hyperlink r:id="rId435">
              <w:r>
                <w:rPr>
                  <w:rFonts w:ascii="Times New Roman" w:cs="Times New Roman" w:eastAsia="Times New Roman" w:hAnsi="Times New Roman"/>
                  <w:sz w:val="14"/>
                  <w:szCs w:val="14"/>
                  <w:color w:val="0000FF"/>
                </w:rPr>
                <w:t>Indenture, dated as of January 30, 2024, between BrightSpring</w:t>
              </w:r>
            </w:hyperlink>
          </w:p>
        </w:tc>
        <w:tc>
          <w:tcPr>
            <w:tcW w:w="42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color w:val="auto"/>
              </w:rPr>
              <w:t>8-K</w:t>
            </w:r>
          </w:p>
        </w:tc>
        <w:tc>
          <w:tcPr>
            <w:tcW w:w="840" w:type="dxa"/>
            <w:vAlign w:val="bottom"/>
            <w:gridSpan w:val="2"/>
          </w:tcPr>
          <w:p>
            <w:pPr>
              <w:jc w:val="center"/>
              <w:spacing w:after="0" w:line="152" w:lineRule="exact"/>
              <w:rPr>
                <w:sz w:val="20"/>
                <w:szCs w:val="20"/>
                <w:color w:val="auto"/>
              </w:rPr>
            </w:pPr>
            <w:r>
              <w:rPr>
                <w:rFonts w:ascii="Times New Roman" w:cs="Times New Roman" w:eastAsia="Times New Roman" w:hAnsi="Times New Roman"/>
                <w:sz w:val="14"/>
                <w:szCs w:val="14"/>
                <w:color w:val="auto"/>
              </w:rPr>
              <w:t>001-41938</w:t>
            </w:r>
          </w:p>
        </w:tc>
        <w:tc>
          <w:tcPr>
            <w:tcW w:w="480" w:type="dxa"/>
            <w:vAlign w:val="bottom"/>
            <w:gridSpan w:val="2"/>
          </w:tcPr>
          <w:p>
            <w:pPr>
              <w:jc w:val="center"/>
              <w:spacing w:after="0" w:line="152" w:lineRule="exact"/>
              <w:rPr>
                <w:sz w:val="20"/>
                <w:szCs w:val="20"/>
                <w:color w:val="auto"/>
              </w:rPr>
            </w:pPr>
            <w:r>
              <w:rPr>
                <w:rFonts w:ascii="Times New Roman" w:cs="Times New Roman" w:eastAsia="Times New Roman" w:hAnsi="Times New Roman"/>
                <w:sz w:val="14"/>
                <w:szCs w:val="14"/>
                <w:color w:val="auto"/>
              </w:rPr>
              <w:t>4.4</w:t>
            </w:r>
          </w:p>
        </w:tc>
        <w:tc>
          <w:tcPr>
            <w:tcW w:w="1680" w:type="dxa"/>
            <w:vAlign w:val="bottom"/>
            <w:gridSpan w:val="2"/>
          </w:tcPr>
          <w:p>
            <w:pPr>
              <w:jc w:val="center"/>
              <w:spacing w:after="0" w:line="152" w:lineRule="exact"/>
              <w:rPr>
                <w:sz w:val="20"/>
                <w:szCs w:val="20"/>
                <w:color w:val="auto"/>
              </w:rPr>
            </w:pPr>
            <w:r>
              <w:rPr>
                <w:rFonts w:ascii="Times New Roman" w:cs="Times New Roman" w:eastAsia="Times New Roman" w:hAnsi="Times New Roman"/>
                <w:sz w:val="14"/>
                <w:szCs w:val="14"/>
                <w:color w:val="auto"/>
              </w:rPr>
              <w:t>1/30/2024</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80" w:type="dxa"/>
            <w:vAlign w:val="bottom"/>
            <w:gridSpan w:val="20"/>
          </w:tcPr>
          <w:p>
            <w:pPr>
              <w:spacing w:after="0" w:line="152" w:lineRule="exact"/>
              <w:rPr>
                <w:rFonts w:ascii="Times New Roman" w:cs="Times New Roman" w:eastAsia="Times New Roman" w:hAnsi="Times New Roman"/>
                <w:sz w:val="14"/>
                <w:szCs w:val="14"/>
                <w:color w:val="0000FF"/>
              </w:rPr>
            </w:pPr>
            <w:hyperlink r:id="rId435">
              <w:r>
                <w:rPr>
                  <w:rFonts w:ascii="Times New Roman" w:cs="Times New Roman" w:eastAsia="Times New Roman" w:hAnsi="Times New Roman"/>
                  <w:sz w:val="14"/>
                  <w:szCs w:val="14"/>
                  <w:color w:val="0000FF"/>
                </w:rPr>
                <w:t>Health Services, Inc. and U.S. Bank Trust Company, National</w:t>
              </w:r>
            </w:hyperlink>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80" w:type="dxa"/>
            <w:vAlign w:val="bottom"/>
            <w:gridSpan w:val="20"/>
          </w:tcPr>
          <w:p>
            <w:pPr>
              <w:spacing w:after="0" w:line="152" w:lineRule="exact"/>
              <w:rPr>
                <w:rFonts w:ascii="Times New Roman" w:cs="Times New Roman" w:eastAsia="Times New Roman" w:hAnsi="Times New Roman"/>
                <w:sz w:val="14"/>
                <w:szCs w:val="14"/>
                <w:color w:val="0000FF"/>
              </w:rPr>
            </w:pPr>
            <w:hyperlink r:id="rId435">
              <w:r>
                <w:rPr>
                  <w:rFonts w:ascii="Times New Roman" w:cs="Times New Roman" w:eastAsia="Times New Roman" w:hAnsi="Times New Roman"/>
                  <w:sz w:val="14"/>
                  <w:szCs w:val="14"/>
                  <w:color w:val="0000FF"/>
                </w:rPr>
                <w:t>Association, as trustee.</w:t>
              </w:r>
            </w:hyperlink>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110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640" w:type="dxa"/>
            <w:vAlign w:val="bottom"/>
            <w:tcBorders>
              <w:left w:val="single" w:sz="8" w:color="0000EE"/>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4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4.5</w:t>
            </w:r>
          </w:p>
        </w:tc>
        <w:tc>
          <w:tcPr>
            <w:tcW w:w="100" w:type="dxa"/>
            <w:vAlign w:val="bottom"/>
          </w:tcPr>
          <w:p>
            <w:pPr>
              <w:spacing w:after="0"/>
              <w:rPr>
                <w:sz w:val="13"/>
                <w:szCs w:val="13"/>
                <w:color w:val="auto"/>
              </w:rPr>
            </w:pPr>
          </w:p>
        </w:tc>
        <w:tc>
          <w:tcPr>
            <w:tcW w:w="3680" w:type="dxa"/>
            <w:vAlign w:val="bottom"/>
            <w:gridSpan w:val="20"/>
          </w:tcPr>
          <w:p>
            <w:pPr>
              <w:spacing w:after="0" w:line="152" w:lineRule="exact"/>
              <w:rPr>
                <w:rFonts w:ascii="Times New Roman" w:cs="Times New Roman" w:eastAsia="Times New Roman" w:hAnsi="Times New Roman"/>
                <w:sz w:val="14"/>
                <w:szCs w:val="14"/>
                <w:color w:val="0000FF"/>
              </w:rPr>
            </w:pPr>
            <w:hyperlink r:id="rId436">
              <w:r>
                <w:rPr>
                  <w:rFonts w:ascii="Times New Roman" w:cs="Times New Roman" w:eastAsia="Times New Roman" w:hAnsi="Times New Roman"/>
                  <w:sz w:val="14"/>
                  <w:szCs w:val="14"/>
                  <w:color w:val="0000FF"/>
                </w:rPr>
                <w:t>First Supplemental Indenture, dated as of January 30, 2024,</w:t>
              </w:r>
            </w:hyperlink>
          </w:p>
        </w:tc>
        <w:tc>
          <w:tcPr>
            <w:tcW w:w="42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color w:val="auto"/>
              </w:rPr>
              <w:t>8-K</w:t>
            </w:r>
          </w:p>
        </w:tc>
        <w:tc>
          <w:tcPr>
            <w:tcW w:w="840" w:type="dxa"/>
            <w:vAlign w:val="bottom"/>
            <w:gridSpan w:val="2"/>
          </w:tcPr>
          <w:p>
            <w:pPr>
              <w:jc w:val="center"/>
              <w:spacing w:after="0" w:line="152" w:lineRule="exact"/>
              <w:rPr>
                <w:sz w:val="20"/>
                <w:szCs w:val="20"/>
                <w:color w:val="auto"/>
              </w:rPr>
            </w:pPr>
            <w:r>
              <w:rPr>
                <w:rFonts w:ascii="Times New Roman" w:cs="Times New Roman" w:eastAsia="Times New Roman" w:hAnsi="Times New Roman"/>
                <w:sz w:val="14"/>
                <w:szCs w:val="14"/>
                <w:color w:val="auto"/>
              </w:rPr>
              <w:t>001-41938</w:t>
            </w:r>
          </w:p>
        </w:tc>
        <w:tc>
          <w:tcPr>
            <w:tcW w:w="480" w:type="dxa"/>
            <w:vAlign w:val="bottom"/>
            <w:gridSpan w:val="2"/>
          </w:tcPr>
          <w:p>
            <w:pPr>
              <w:jc w:val="center"/>
              <w:spacing w:after="0" w:line="152" w:lineRule="exact"/>
              <w:rPr>
                <w:sz w:val="20"/>
                <w:szCs w:val="20"/>
                <w:color w:val="auto"/>
              </w:rPr>
            </w:pPr>
            <w:r>
              <w:rPr>
                <w:rFonts w:ascii="Times New Roman" w:cs="Times New Roman" w:eastAsia="Times New Roman" w:hAnsi="Times New Roman"/>
                <w:sz w:val="14"/>
                <w:szCs w:val="14"/>
                <w:color w:val="auto"/>
              </w:rPr>
              <w:t>4.5</w:t>
            </w:r>
          </w:p>
        </w:tc>
        <w:tc>
          <w:tcPr>
            <w:tcW w:w="1680" w:type="dxa"/>
            <w:vAlign w:val="bottom"/>
            <w:gridSpan w:val="2"/>
          </w:tcPr>
          <w:p>
            <w:pPr>
              <w:jc w:val="center"/>
              <w:spacing w:after="0" w:line="152" w:lineRule="exact"/>
              <w:rPr>
                <w:sz w:val="20"/>
                <w:szCs w:val="20"/>
                <w:color w:val="auto"/>
              </w:rPr>
            </w:pPr>
            <w:r>
              <w:rPr>
                <w:rFonts w:ascii="Times New Roman" w:cs="Times New Roman" w:eastAsia="Times New Roman" w:hAnsi="Times New Roman"/>
                <w:sz w:val="14"/>
                <w:szCs w:val="14"/>
                <w:color w:val="auto"/>
              </w:rPr>
              <w:t>1/30/2024</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80" w:type="dxa"/>
            <w:vAlign w:val="bottom"/>
            <w:gridSpan w:val="20"/>
          </w:tcPr>
          <w:p>
            <w:pPr>
              <w:spacing w:after="0" w:line="152" w:lineRule="exact"/>
              <w:rPr>
                <w:rFonts w:ascii="Times New Roman" w:cs="Times New Roman" w:eastAsia="Times New Roman" w:hAnsi="Times New Roman"/>
                <w:sz w:val="14"/>
                <w:szCs w:val="14"/>
                <w:color w:val="0000FF"/>
              </w:rPr>
            </w:pPr>
            <w:hyperlink r:id="rId436">
              <w:r>
                <w:rPr>
                  <w:rFonts w:ascii="Times New Roman" w:cs="Times New Roman" w:eastAsia="Times New Roman" w:hAnsi="Times New Roman"/>
                  <w:sz w:val="14"/>
                  <w:szCs w:val="14"/>
                  <w:color w:val="0000FF"/>
                </w:rPr>
                <w:t>between BrightSpring Health Services, Inc. and U.S. Bank</w:t>
              </w:r>
            </w:hyperlink>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80" w:type="dxa"/>
            <w:vAlign w:val="bottom"/>
            <w:gridSpan w:val="20"/>
          </w:tcPr>
          <w:p>
            <w:pPr>
              <w:spacing w:after="0" w:line="152" w:lineRule="exact"/>
              <w:rPr>
                <w:rFonts w:ascii="Times New Roman" w:cs="Times New Roman" w:eastAsia="Times New Roman" w:hAnsi="Times New Roman"/>
                <w:sz w:val="14"/>
                <w:szCs w:val="14"/>
                <w:color w:val="0000FF"/>
              </w:rPr>
            </w:pPr>
            <w:hyperlink r:id="rId436">
              <w:r>
                <w:rPr>
                  <w:rFonts w:ascii="Times New Roman" w:cs="Times New Roman" w:eastAsia="Times New Roman" w:hAnsi="Times New Roman"/>
                  <w:sz w:val="14"/>
                  <w:szCs w:val="14"/>
                  <w:color w:val="0000FF"/>
                </w:rPr>
                <w:t>Trust Company, National Association, as trustee, paying agent</w:t>
              </w:r>
            </w:hyperlink>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80" w:type="dxa"/>
            <w:vAlign w:val="bottom"/>
            <w:gridSpan w:val="20"/>
          </w:tcPr>
          <w:p>
            <w:pPr>
              <w:spacing w:after="0" w:line="152" w:lineRule="exact"/>
              <w:rPr>
                <w:rFonts w:ascii="Times New Roman" w:cs="Times New Roman" w:eastAsia="Times New Roman" w:hAnsi="Times New Roman"/>
                <w:sz w:val="14"/>
                <w:szCs w:val="14"/>
                <w:color w:val="0000FF"/>
              </w:rPr>
            </w:pPr>
            <w:hyperlink r:id="rId436">
              <w:r>
                <w:rPr>
                  <w:rFonts w:ascii="Times New Roman" w:cs="Times New Roman" w:eastAsia="Times New Roman" w:hAnsi="Times New Roman"/>
                  <w:sz w:val="14"/>
                  <w:szCs w:val="14"/>
                  <w:color w:val="0000FF"/>
                </w:rPr>
                <w:t>and security registrar.</w:t>
              </w:r>
            </w:hyperlink>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110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4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4.6</w:t>
            </w:r>
          </w:p>
        </w:tc>
        <w:tc>
          <w:tcPr>
            <w:tcW w:w="100" w:type="dxa"/>
            <w:vAlign w:val="bottom"/>
          </w:tcPr>
          <w:p>
            <w:pPr>
              <w:spacing w:after="0"/>
              <w:rPr>
                <w:sz w:val="13"/>
                <w:szCs w:val="13"/>
                <w:color w:val="auto"/>
              </w:rPr>
            </w:pPr>
          </w:p>
        </w:tc>
        <w:tc>
          <w:tcPr>
            <w:tcW w:w="3680" w:type="dxa"/>
            <w:vAlign w:val="bottom"/>
            <w:gridSpan w:val="20"/>
          </w:tcPr>
          <w:p>
            <w:pPr>
              <w:spacing w:after="0" w:line="152" w:lineRule="exact"/>
              <w:rPr>
                <w:rFonts w:ascii="Times New Roman" w:cs="Times New Roman" w:eastAsia="Times New Roman" w:hAnsi="Times New Roman"/>
                <w:sz w:val="14"/>
                <w:szCs w:val="14"/>
                <w:color w:val="0000FF"/>
              </w:rPr>
            </w:pPr>
            <w:hyperlink r:id="rId436">
              <w:r>
                <w:rPr>
                  <w:rFonts w:ascii="Times New Roman" w:cs="Times New Roman" w:eastAsia="Times New Roman" w:hAnsi="Times New Roman"/>
                  <w:sz w:val="14"/>
                  <w:szCs w:val="14"/>
                  <w:color w:val="0000FF"/>
                </w:rPr>
                <w:t>Form of Amortizing Note (included in Exhibit 4.5).</w:t>
              </w:r>
            </w:hyperlink>
          </w:p>
        </w:tc>
        <w:tc>
          <w:tcPr>
            <w:tcW w:w="42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color w:val="auto"/>
              </w:rPr>
              <w:t>8-K</w:t>
            </w:r>
          </w:p>
        </w:tc>
        <w:tc>
          <w:tcPr>
            <w:tcW w:w="840" w:type="dxa"/>
            <w:vAlign w:val="bottom"/>
            <w:gridSpan w:val="2"/>
          </w:tcPr>
          <w:p>
            <w:pPr>
              <w:jc w:val="center"/>
              <w:spacing w:after="0" w:line="152" w:lineRule="exact"/>
              <w:rPr>
                <w:sz w:val="20"/>
                <w:szCs w:val="20"/>
                <w:color w:val="auto"/>
              </w:rPr>
            </w:pPr>
            <w:r>
              <w:rPr>
                <w:rFonts w:ascii="Times New Roman" w:cs="Times New Roman" w:eastAsia="Times New Roman" w:hAnsi="Times New Roman"/>
                <w:sz w:val="14"/>
                <w:szCs w:val="14"/>
                <w:color w:val="auto"/>
              </w:rPr>
              <w:t>001-41938</w:t>
            </w:r>
          </w:p>
        </w:tc>
        <w:tc>
          <w:tcPr>
            <w:tcW w:w="480" w:type="dxa"/>
            <w:vAlign w:val="bottom"/>
            <w:gridSpan w:val="2"/>
          </w:tcPr>
          <w:p>
            <w:pPr>
              <w:jc w:val="center"/>
              <w:spacing w:after="0" w:line="152" w:lineRule="exact"/>
              <w:rPr>
                <w:sz w:val="20"/>
                <w:szCs w:val="20"/>
                <w:color w:val="auto"/>
              </w:rPr>
            </w:pPr>
            <w:r>
              <w:rPr>
                <w:rFonts w:ascii="Times New Roman" w:cs="Times New Roman" w:eastAsia="Times New Roman" w:hAnsi="Times New Roman"/>
                <w:sz w:val="14"/>
                <w:szCs w:val="14"/>
                <w:color w:val="auto"/>
              </w:rPr>
              <w:t>4.6</w:t>
            </w:r>
          </w:p>
        </w:tc>
        <w:tc>
          <w:tcPr>
            <w:tcW w:w="1680" w:type="dxa"/>
            <w:vAlign w:val="bottom"/>
            <w:gridSpan w:val="2"/>
          </w:tcPr>
          <w:p>
            <w:pPr>
              <w:jc w:val="center"/>
              <w:spacing w:after="0" w:line="152" w:lineRule="exact"/>
              <w:rPr>
                <w:sz w:val="20"/>
                <w:szCs w:val="20"/>
                <w:color w:val="auto"/>
              </w:rPr>
            </w:pPr>
            <w:r>
              <w:rPr>
                <w:rFonts w:ascii="Times New Roman" w:cs="Times New Roman" w:eastAsia="Times New Roman" w:hAnsi="Times New Roman"/>
                <w:sz w:val="14"/>
                <w:szCs w:val="14"/>
                <w:color w:val="auto"/>
              </w:rPr>
              <w:t>1/30/2024</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1100" w:type="dxa"/>
            <w:vAlign w:val="bottom"/>
            <w:tcBorders>
              <w:right w:val="single" w:sz="8" w:color="0000FF"/>
            </w:tcBorders>
            <w:gridSpan w:val="3"/>
            <w:shd w:val="clear" w:color="auto" w:fill="0000FF"/>
          </w:tcPr>
          <w:p>
            <w:pPr>
              <w:spacing w:after="0" w:line="20" w:lineRule="exact"/>
              <w:rPr>
                <w:sz w:val="1"/>
                <w:szCs w:val="1"/>
                <w:color w:val="auto"/>
              </w:rPr>
            </w:pPr>
          </w:p>
        </w:tc>
        <w:tc>
          <w:tcPr>
            <w:tcW w:w="78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4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4.7</w:t>
            </w:r>
          </w:p>
        </w:tc>
        <w:tc>
          <w:tcPr>
            <w:tcW w:w="100" w:type="dxa"/>
            <w:vAlign w:val="bottom"/>
          </w:tcPr>
          <w:p>
            <w:pPr>
              <w:spacing w:after="0"/>
              <w:rPr>
                <w:sz w:val="13"/>
                <w:szCs w:val="13"/>
                <w:color w:val="auto"/>
              </w:rPr>
            </w:pPr>
          </w:p>
        </w:tc>
        <w:tc>
          <w:tcPr>
            <w:tcW w:w="3680" w:type="dxa"/>
            <w:vAlign w:val="bottom"/>
            <w:gridSpan w:val="20"/>
          </w:tcPr>
          <w:p>
            <w:pPr>
              <w:spacing w:after="0" w:line="152" w:lineRule="exact"/>
              <w:rPr>
                <w:rFonts w:ascii="Times New Roman" w:cs="Times New Roman" w:eastAsia="Times New Roman" w:hAnsi="Times New Roman"/>
                <w:sz w:val="14"/>
                <w:szCs w:val="14"/>
                <w:color w:val="0000FF"/>
              </w:rPr>
            </w:pPr>
            <w:hyperlink r:id="rId437">
              <w:r>
                <w:rPr>
                  <w:rFonts w:ascii="Times New Roman" w:cs="Times New Roman" w:eastAsia="Times New Roman" w:hAnsi="Times New Roman"/>
                  <w:sz w:val="14"/>
                  <w:szCs w:val="14"/>
                  <w:color w:val="0000FF"/>
                </w:rPr>
                <w:t>Registration Rights Agreement, dated December 7, 2017, by</w:t>
              </w:r>
            </w:hyperlink>
          </w:p>
        </w:tc>
        <w:tc>
          <w:tcPr>
            <w:tcW w:w="42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color w:val="auto"/>
              </w:rPr>
              <w:t>S-1/A</w:t>
            </w:r>
          </w:p>
        </w:tc>
        <w:tc>
          <w:tcPr>
            <w:tcW w:w="840" w:type="dxa"/>
            <w:vAlign w:val="bottom"/>
            <w:gridSpan w:val="2"/>
          </w:tcPr>
          <w:p>
            <w:pPr>
              <w:jc w:val="center"/>
              <w:spacing w:after="0" w:line="152" w:lineRule="exact"/>
              <w:rPr>
                <w:sz w:val="20"/>
                <w:szCs w:val="20"/>
                <w:color w:val="auto"/>
              </w:rPr>
            </w:pPr>
            <w:r>
              <w:rPr>
                <w:rFonts w:ascii="Times New Roman" w:cs="Times New Roman" w:eastAsia="Times New Roman" w:hAnsi="Times New Roman"/>
                <w:sz w:val="14"/>
                <w:szCs w:val="14"/>
                <w:color w:val="auto"/>
              </w:rPr>
              <w:t>333-276348</w:t>
            </w:r>
          </w:p>
        </w:tc>
        <w:tc>
          <w:tcPr>
            <w:tcW w:w="480" w:type="dxa"/>
            <w:vAlign w:val="bottom"/>
            <w:gridSpan w:val="2"/>
          </w:tcPr>
          <w:p>
            <w:pPr>
              <w:jc w:val="center"/>
              <w:spacing w:after="0" w:line="152" w:lineRule="exact"/>
              <w:rPr>
                <w:sz w:val="20"/>
                <w:szCs w:val="20"/>
                <w:color w:val="auto"/>
              </w:rPr>
            </w:pPr>
            <w:r>
              <w:rPr>
                <w:rFonts w:ascii="Times New Roman" w:cs="Times New Roman" w:eastAsia="Times New Roman" w:hAnsi="Times New Roman"/>
                <w:sz w:val="14"/>
                <w:szCs w:val="14"/>
                <w:color w:val="auto"/>
              </w:rPr>
              <w:t>4.1</w:t>
            </w:r>
          </w:p>
        </w:tc>
        <w:tc>
          <w:tcPr>
            <w:tcW w:w="1680" w:type="dxa"/>
            <w:vAlign w:val="bottom"/>
            <w:gridSpan w:val="2"/>
          </w:tcPr>
          <w:p>
            <w:pPr>
              <w:jc w:val="center"/>
              <w:spacing w:after="0" w:line="152" w:lineRule="exact"/>
              <w:rPr>
                <w:sz w:val="20"/>
                <w:szCs w:val="20"/>
                <w:color w:val="auto"/>
              </w:rPr>
            </w:pPr>
            <w:r>
              <w:rPr>
                <w:rFonts w:ascii="Times New Roman" w:cs="Times New Roman" w:eastAsia="Times New Roman" w:hAnsi="Times New Roman"/>
                <w:sz w:val="14"/>
                <w:szCs w:val="14"/>
                <w:color w:val="auto"/>
              </w:rPr>
              <w:t>1/10/2024</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right w:val="single" w:sz="8" w:color="0000FF"/>
            </w:tcBorders>
            <w:gridSpan w:val="3"/>
            <w:shd w:val="clear" w:color="auto" w:fill="0000FF"/>
          </w:tcPr>
          <w:p>
            <w:pPr>
              <w:spacing w:after="0" w:line="20" w:lineRule="exact"/>
              <w:rPr>
                <w:sz w:val="1"/>
                <w:szCs w:val="1"/>
                <w:color w:val="auto"/>
              </w:rPr>
            </w:pPr>
          </w:p>
        </w:tc>
        <w:tc>
          <w:tcPr>
            <w:tcW w:w="78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160" w:type="dxa"/>
            <w:vAlign w:val="bottom"/>
            <w:gridSpan w:val="5"/>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80" w:type="dxa"/>
            <w:vAlign w:val="bottom"/>
            <w:gridSpan w:val="20"/>
          </w:tcPr>
          <w:p>
            <w:pPr>
              <w:spacing w:after="0" w:line="152" w:lineRule="exact"/>
              <w:rPr>
                <w:rFonts w:ascii="Times New Roman" w:cs="Times New Roman" w:eastAsia="Times New Roman" w:hAnsi="Times New Roman"/>
                <w:sz w:val="14"/>
                <w:szCs w:val="14"/>
                <w:color w:val="0000FF"/>
              </w:rPr>
            </w:pPr>
            <w:hyperlink r:id="rId437">
              <w:r>
                <w:rPr>
                  <w:rFonts w:ascii="Times New Roman" w:cs="Times New Roman" w:eastAsia="Times New Roman" w:hAnsi="Times New Roman"/>
                  <w:sz w:val="14"/>
                  <w:szCs w:val="14"/>
                  <w:color w:val="0000FF"/>
                </w:rPr>
                <w:t>and among Phoenix Parent Holdings Inc., KKR Phoenix</w:t>
              </w:r>
            </w:hyperlink>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right w:val="single" w:sz="8" w:color="0000FF"/>
            </w:tcBorders>
            <w:gridSpan w:val="3"/>
            <w:shd w:val="clear" w:color="auto" w:fill="0000FF"/>
          </w:tcPr>
          <w:p>
            <w:pPr>
              <w:spacing w:after="0" w:line="20" w:lineRule="exact"/>
              <w:rPr>
                <w:sz w:val="1"/>
                <w:szCs w:val="1"/>
                <w:color w:val="auto"/>
              </w:rPr>
            </w:pPr>
          </w:p>
        </w:tc>
        <w:tc>
          <w:tcPr>
            <w:tcW w:w="78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160" w:type="dxa"/>
            <w:vAlign w:val="bottom"/>
            <w:gridSpan w:val="5"/>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80" w:type="dxa"/>
            <w:vAlign w:val="bottom"/>
            <w:gridSpan w:val="20"/>
          </w:tcPr>
          <w:p>
            <w:pPr>
              <w:spacing w:after="0" w:line="152" w:lineRule="exact"/>
              <w:rPr>
                <w:rFonts w:ascii="Times New Roman" w:cs="Times New Roman" w:eastAsia="Times New Roman" w:hAnsi="Times New Roman"/>
                <w:sz w:val="14"/>
                <w:szCs w:val="14"/>
                <w:color w:val="0000FF"/>
              </w:rPr>
            </w:pPr>
            <w:hyperlink r:id="rId437">
              <w:r>
                <w:rPr>
                  <w:rFonts w:ascii="Times New Roman" w:cs="Times New Roman" w:eastAsia="Times New Roman" w:hAnsi="Times New Roman"/>
                  <w:sz w:val="14"/>
                  <w:szCs w:val="14"/>
                  <w:color w:val="0000FF"/>
                </w:rPr>
                <w:t>Aggregator L.P., and Walgreens Co.</w:t>
              </w:r>
            </w:hyperlink>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1100" w:type="dxa"/>
            <w:vAlign w:val="bottom"/>
            <w:tcBorders>
              <w:right w:val="single" w:sz="8" w:color="0000FF"/>
            </w:tcBorders>
            <w:gridSpan w:val="3"/>
            <w:shd w:val="clear" w:color="auto" w:fill="0000FF"/>
          </w:tcPr>
          <w:p>
            <w:pPr>
              <w:spacing w:after="0" w:line="20" w:lineRule="exact"/>
              <w:rPr>
                <w:sz w:val="1"/>
                <w:szCs w:val="1"/>
                <w:color w:val="auto"/>
              </w:rPr>
            </w:pPr>
          </w:p>
        </w:tc>
        <w:tc>
          <w:tcPr>
            <w:tcW w:w="78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240" w:type="dxa"/>
            <w:vAlign w:val="bottom"/>
            <w:gridSpan w:val="6"/>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4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31.1</w:t>
            </w:r>
          </w:p>
        </w:tc>
        <w:tc>
          <w:tcPr>
            <w:tcW w:w="100" w:type="dxa"/>
            <w:vAlign w:val="bottom"/>
          </w:tcPr>
          <w:p>
            <w:pPr>
              <w:spacing w:after="0"/>
              <w:rPr>
                <w:sz w:val="13"/>
                <w:szCs w:val="13"/>
                <w:color w:val="auto"/>
              </w:rPr>
            </w:pPr>
          </w:p>
        </w:tc>
        <w:tc>
          <w:tcPr>
            <w:tcW w:w="3680" w:type="dxa"/>
            <w:vAlign w:val="bottom"/>
            <w:gridSpan w:val="20"/>
          </w:tcPr>
          <w:p>
            <w:pPr>
              <w:spacing w:after="0" w:line="152" w:lineRule="exact"/>
              <w:rPr>
                <w:sz w:val="20"/>
                <w:szCs w:val="20"/>
                <w:color w:val="auto"/>
              </w:rPr>
            </w:pPr>
            <w:r>
              <w:rPr>
                <w:rFonts w:ascii="Times New Roman" w:cs="Times New Roman" w:eastAsia="Times New Roman" w:hAnsi="Times New Roman"/>
                <w:sz w:val="14"/>
                <w:szCs w:val="14"/>
                <w:color w:val="0000FF"/>
              </w:rPr>
              <w:t>Certification of Principal Executive Officer Pursuant to Rules</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right w:val="single" w:sz="8" w:color="0000FF"/>
            </w:tcBorders>
            <w:gridSpan w:val="3"/>
            <w:shd w:val="clear" w:color="auto" w:fill="0000FF"/>
          </w:tcPr>
          <w:p>
            <w:pPr>
              <w:spacing w:after="0" w:line="20" w:lineRule="exact"/>
              <w:rPr>
                <w:sz w:val="1"/>
                <w:szCs w:val="1"/>
                <w:color w:val="auto"/>
              </w:rPr>
            </w:pPr>
          </w:p>
        </w:tc>
        <w:tc>
          <w:tcPr>
            <w:tcW w:w="78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1440" w:type="dxa"/>
            <w:vAlign w:val="bottom"/>
            <w:tcBorders>
              <w:left w:val="single" w:sz="8" w:color="0000FF"/>
            </w:tcBorders>
            <w:gridSpan w:val="7"/>
            <w:shd w:val="clear" w:color="auto" w:fill="0000FF"/>
          </w:tcPr>
          <w:p>
            <w:pPr>
              <w:spacing w:after="0" w:line="20" w:lineRule="exact"/>
              <w:rPr>
                <w:sz w:val="1"/>
                <w:szCs w:val="1"/>
                <w:color w:val="auto"/>
              </w:rPr>
            </w:pPr>
          </w:p>
        </w:tc>
        <w:tc>
          <w:tcPr>
            <w:tcW w:w="14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80" w:type="dxa"/>
            <w:vAlign w:val="bottom"/>
            <w:gridSpan w:val="20"/>
          </w:tcPr>
          <w:p>
            <w:pPr>
              <w:spacing w:after="0" w:line="152" w:lineRule="exact"/>
              <w:rPr>
                <w:sz w:val="20"/>
                <w:szCs w:val="20"/>
                <w:color w:val="auto"/>
              </w:rPr>
            </w:pPr>
            <w:r>
              <w:rPr>
                <w:rFonts w:ascii="Times New Roman" w:cs="Times New Roman" w:eastAsia="Times New Roman" w:hAnsi="Times New Roman"/>
                <w:sz w:val="14"/>
                <w:szCs w:val="14"/>
                <w:color w:val="0000FF"/>
              </w:rPr>
              <w:t>13a-14(a) and 15d-14(a) under the Securities Exchange Act of</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right w:val="single" w:sz="8" w:color="0000FF"/>
            </w:tcBorders>
            <w:gridSpan w:val="3"/>
            <w:shd w:val="clear" w:color="auto" w:fill="0000FF"/>
          </w:tcPr>
          <w:p>
            <w:pPr>
              <w:spacing w:after="0" w:line="20" w:lineRule="exact"/>
              <w:rPr>
                <w:sz w:val="1"/>
                <w:szCs w:val="1"/>
                <w:color w:val="auto"/>
              </w:rPr>
            </w:pPr>
          </w:p>
        </w:tc>
        <w:tc>
          <w:tcPr>
            <w:tcW w:w="78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1440" w:type="dxa"/>
            <w:vAlign w:val="bottom"/>
            <w:tcBorders>
              <w:left w:val="single" w:sz="8" w:color="0000FF"/>
            </w:tcBorders>
            <w:gridSpan w:val="7"/>
            <w:shd w:val="clear" w:color="auto" w:fill="0000FF"/>
          </w:tcPr>
          <w:p>
            <w:pPr>
              <w:spacing w:after="0" w:line="20" w:lineRule="exact"/>
              <w:rPr>
                <w:sz w:val="1"/>
                <w:szCs w:val="1"/>
                <w:color w:val="auto"/>
              </w:rPr>
            </w:pPr>
          </w:p>
        </w:tc>
        <w:tc>
          <w:tcPr>
            <w:tcW w:w="14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80" w:type="dxa"/>
            <w:vAlign w:val="bottom"/>
            <w:gridSpan w:val="20"/>
          </w:tcPr>
          <w:p>
            <w:pPr>
              <w:spacing w:after="0" w:line="152" w:lineRule="exact"/>
              <w:rPr>
                <w:sz w:val="20"/>
                <w:szCs w:val="20"/>
                <w:color w:val="auto"/>
              </w:rPr>
            </w:pPr>
            <w:r>
              <w:rPr>
                <w:rFonts w:ascii="Times New Roman" w:cs="Times New Roman" w:eastAsia="Times New Roman" w:hAnsi="Times New Roman"/>
                <w:sz w:val="14"/>
                <w:szCs w:val="14"/>
                <w:color w:val="0000FF"/>
              </w:rPr>
              <w:t>1934, as Adopted Pursuant to Section 302 of the Sarbanes-</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1100" w:type="dxa"/>
            <w:vAlign w:val="bottom"/>
            <w:tcBorders>
              <w:right w:val="single" w:sz="8" w:color="0000FF"/>
            </w:tcBorders>
            <w:gridSpan w:val="3"/>
            <w:shd w:val="clear" w:color="auto" w:fill="0000FF"/>
          </w:tcPr>
          <w:p>
            <w:pPr>
              <w:spacing w:after="0" w:line="20" w:lineRule="exact"/>
              <w:rPr>
                <w:sz w:val="1"/>
                <w:szCs w:val="1"/>
                <w:color w:val="auto"/>
              </w:rPr>
            </w:pPr>
          </w:p>
        </w:tc>
        <w:tc>
          <w:tcPr>
            <w:tcW w:w="78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1440" w:type="dxa"/>
            <w:vAlign w:val="bottom"/>
            <w:tcBorders>
              <w:left w:val="single" w:sz="8" w:color="0000FF"/>
            </w:tcBorders>
            <w:gridSpan w:val="7"/>
            <w:shd w:val="clear" w:color="auto" w:fill="0000FF"/>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80" w:type="dxa"/>
            <w:vAlign w:val="bottom"/>
            <w:gridSpan w:val="20"/>
          </w:tcPr>
          <w:p>
            <w:pPr>
              <w:spacing w:after="0" w:line="152" w:lineRule="exact"/>
              <w:rPr>
                <w:sz w:val="20"/>
                <w:szCs w:val="20"/>
                <w:color w:val="auto"/>
              </w:rPr>
            </w:pPr>
            <w:r>
              <w:rPr>
                <w:rFonts w:ascii="Times New Roman" w:cs="Times New Roman" w:eastAsia="Times New Roman" w:hAnsi="Times New Roman"/>
                <w:sz w:val="14"/>
                <w:szCs w:val="14"/>
                <w:color w:val="0000FF"/>
              </w:rPr>
              <w:t>Oxley Act of 2002.</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1100" w:type="dxa"/>
            <w:vAlign w:val="bottom"/>
            <w:tcBorders>
              <w:right w:val="single" w:sz="8" w:color="0000EE"/>
            </w:tcBorders>
            <w:gridSpan w:val="3"/>
            <w:shd w:val="clear" w:color="auto" w:fill="0000FF"/>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1440" w:type="dxa"/>
            <w:vAlign w:val="bottom"/>
            <w:gridSpan w:val="7"/>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4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31.2</w:t>
            </w:r>
          </w:p>
        </w:tc>
        <w:tc>
          <w:tcPr>
            <w:tcW w:w="100" w:type="dxa"/>
            <w:vAlign w:val="bottom"/>
          </w:tcPr>
          <w:p>
            <w:pPr>
              <w:spacing w:after="0"/>
              <w:rPr>
                <w:sz w:val="13"/>
                <w:szCs w:val="13"/>
                <w:color w:val="auto"/>
              </w:rPr>
            </w:pPr>
          </w:p>
        </w:tc>
        <w:tc>
          <w:tcPr>
            <w:tcW w:w="3680" w:type="dxa"/>
            <w:vAlign w:val="bottom"/>
            <w:gridSpan w:val="20"/>
          </w:tcPr>
          <w:p>
            <w:pPr>
              <w:spacing w:after="0" w:line="152" w:lineRule="exact"/>
              <w:rPr>
                <w:sz w:val="20"/>
                <w:szCs w:val="20"/>
                <w:color w:val="auto"/>
              </w:rPr>
            </w:pPr>
            <w:r>
              <w:rPr>
                <w:rFonts w:ascii="Times New Roman" w:cs="Times New Roman" w:eastAsia="Times New Roman" w:hAnsi="Times New Roman"/>
                <w:sz w:val="14"/>
                <w:szCs w:val="14"/>
                <w:color w:val="0000FF"/>
              </w:rPr>
              <w:t>Certification of Principal Financial Officer Pursuant to Rules</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Borders>
              <w:right w:val="single" w:sz="8" w:color="0000FF"/>
            </w:tcBorders>
            <w:gridSpan w:val="7"/>
            <w:shd w:val="clear" w:color="auto" w:fill="0000FF"/>
          </w:tcPr>
          <w:p>
            <w:pPr>
              <w:spacing w:after="0" w:line="20" w:lineRule="exact"/>
              <w:rPr>
                <w:sz w:val="1"/>
                <w:szCs w:val="1"/>
                <w:color w:val="auto"/>
              </w:rPr>
            </w:pPr>
          </w:p>
        </w:tc>
        <w:tc>
          <w:tcPr>
            <w:tcW w:w="1440" w:type="dxa"/>
            <w:vAlign w:val="bottom"/>
            <w:tcBorders>
              <w:left w:val="single" w:sz="8" w:color="0000FF"/>
            </w:tcBorders>
            <w:gridSpan w:val="7"/>
            <w:shd w:val="clear" w:color="auto" w:fill="0000FF"/>
          </w:tcPr>
          <w:p>
            <w:pPr>
              <w:spacing w:after="0" w:line="20" w:lineRule="exact"/>
              <w:rPr>
                <w:sz w:val="1"/>
                <w:szCs w:val="1"/>
                <w:color w:val="auto"/>
              </w:rPr>
            </w:pPr>
          </w:p>
        </w:tc>
        <w:tc>
          <w:tcPr>
            <w:tcW w:w="140" w:type="dxa"/>
            <w:vAlign w:val="bottom"/>
            <w:tcBorders>
              <w:lef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tcBorders>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80" w:type="dxa"/>
            <w:vAlign w:val="bottom"/>
            <w:gridSpan w:val="20"/>
          </w:tcPr>
          <w:p>
            <w:pPr>
              <w:spacing w:after="0" w:line="152" w:lineRule="exact"/>
              <w:rPr>
                <w:sz w:val="20"/>
                <w:szCs w:val="20"/>
                <w:color w:val="auto"/>
              </w:rPr>
            </w:pPr>
            <w:r>
              <w:rPr>
                <w:rFonts w:ascii="Times New Roman" w:cs="Times New Roman" w:eastAsia="Times New Roman" w:hAnsi="Times New Roman"/>
                <w:sz w:val="14"/>
                <w:szCs w:val="14"/>
                <w:color w:val="0000FF"/>
              </w:rPr>
              <w:t>13a-14(a) and 15d-14(a) under the Securities Exchange Act of</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Borders>
              <w:right w:val="single" w:sz="8" w:color="0000FF"/>
            </w:tcBorders>
            <w:gridSpan w:val="7"/>
            <w:shd w:val="clear" w:color="auto" w:fill="0000FF"/>
          </w:tcPr>
          <w:p>
            <w:pPr>
              <w:spacing w:after="0" w:line="20" w:lineRule="exact"/>
              <w:rPr>
                <w:sz w:val="1"/>
                <w:szCs w:val="1"/>
                <w:color w:val="auto"/>
              </w:rPr>
            </w:pPr>
          </w:p>
        </w:tc>
        <w:tc>
          <w:tcPr>
            <w:tcW w:w="1440" w:type="dxa"/>
            <w:vAlign w:val="bottom"/>
            <w:tcBorders>
              <w:left w:val="single" w:sz="8" w:color="0000FF"/>
            </w:tcBorders>
            <w:gridSpan w:val="7"/>
            <w:shd w:val="clear" w:color="auto" w:fill="0000FF"/>
          </w:tcPr>
          <w:p>
            <w:pPr>
              <w:spacing w:after="0" w:line="20" w:lineRule="exact"/>
              <w:rPr>
                <w:sz w:val="1"/>
                <w:szCs w:val="1"/>
                <w:color w:val="auto"/>
              </w:rPr>
            </w:pPr>
          </w:p>
        </w:tc>
        <w:tc>
          <w:tcPr>
            <w:tcW w:w="14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80" w:type="dxa"/>
            <w:vAlign w:val="bottom"/>
            <w:gridSpan w:val="20"/>
          </w:tcPr>
          <w:p>
            <w:pPr>
              <w:spacing w:after="0" w:line="152" w:lineRule="exact"/>
              <w:rPr>
                <w:sz w:val="20"/>
                <w:szCs w:val="20"/>
                <w:color w:val="auto"/>
              </w:rPr>
            </w:pPr>
            <w:r>
              <w:rPr>
                <w:rFonts w:ascii="Times New Roman" w:cs="Times New Roman" w:eastAsia="Times New Roman" w:hAnsi="Times New Roman"/>
                <w:sz w:val="14"/>
                <w:szCs w:val="14"/>
                <w:color w:val="0000FF"/>
              </w:rPr>
              <w:t>1934, as Adopted Pursuant to Section 302 of the Sarbanes-</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1880" w:type="dxa"/>
            <w:vAlign w:val="bottom"/>
            <w:tcBorders>
              <w:right w:val="single" w:sz="8" w:color="0000FF"/>
            </w:tcBorders>
            <w:gridSpan w:val="7"/>
            <w:shd w:val="clear" w:color="auto" w:fill="0000FF"/>
          </w:tcPr>
          <w:p>
            <w:pPr>
              <w:spacing w:after="0" w:line="20" w:lineRule="exact"/>
              <w:rPr>
                <w:sz w:val="1"/>
                <w:szCs w:val="1"/>
                <w:color w:val="auto"/>
              </w:rPr>
            </w:pPr>
          </w:p>
        </w:tc>
        <w:tc>
          <w:tcPr>
            <w:tcW w:w="1440" w:type="dxa"/>
            <w:vAlign w:val="bottom"/>
            <w:tcBorders>
              <w:left w:val="single" w:sz="8" w:color="0000FF"/>
            </w:tcBorders>
            <w:gridSpan w:val="7"/>
            <w:shd w:val="clear" w:color="auto" w:fill="0000FF"/>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80" w:type="dxa"/>
            <w:vAlign w:val="bottom"/>
            <w:gridSpan w:val="20"/>
          </w:tcPr>
          <w:p>
            <w:pPr>
              <w:spacing w:after="0" w:line="152" w:lineRule="exact"/>
              <w:rPr>
                <w:sz w:val="20"/>
                <w:szCs w:val="20"/>
                <w:color w:val="auto"/>
              </w:rPr>
            </w:pPr>
            <w:r>
              <w:rPr>
                <w:rFonts w:ascii="Times New Roman" w:cs="Times New Roman" w:eastAsia="Times New Roman" w:hAnsi="Times New Roman"/>
                <w:sz w:val="14"/>
                <w:szCs w:val="14"/>
                <w:color w:val="0000FF"/>
              </w:rPr>
              <w:t>Oxley Act of 2002.</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1100" w:type="dxa"/>
            <w:vAlign w:val="bottom"/>
            <w:tcBorders>
              <w:right w:val="single" w:sz="8" w:color="0000EE"/>
            </w:tcBorders>
            <w:gridSpan w:val="3"/>
            <w:shd w:val="clear" w:color="auto" w:fill="0000FF"/>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1440" w:type="dxa"/>
            <w:vAlign w:val="bottom"/>
            <w:gridSpan w:val="7"/>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4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32.1</w:t>
            </w:r>
          </w:p>
        </w:tc>
        <w:tc>
          <w:tcPr>
            <w:tcW w:w="100" w:type="dxa"/>
            <w:vAlign w:val="bottom"/>
          </w:tcPr>
          <w:p>
            <w:pPr>
              <w:spacing w:after="0"/>
              <w:rPr>
                <w:sz w:val="13"/>
                <w:szCs w:val="13"/>
                <w:color w:val="auto"/>
              </w:rPr>
            </w:pPr>
          </w:p>
        </w:tc>
        <w:tc>
          <w:tcPr>
            <w:tcW w:w="3680" w:type="dxa"/>
            <w:vAlign w:val="bottom"/>
            <w:gridSpan w:val="20"/>
          </w:tcPr>
          <w:p>
            <w:pPr>
              <w:spacing w:after="0" w:line="152" w:lineRule="exact"/>
              <w:rPr>
                <w:sz w:val="20"/>
                <w:szCs w:val="20"/>
                <w:color w:val="auto"/>
              </w:rPr>
            </w:pPr>
            <w:r>
              <w:rPr>
                <w:rFonts w:ascii="Times New Roman" w:cs="Times New Roman" w:eastAsia="Times New Roman" w:hAnsi="Times New Roman"/>
                <w:sz w:val="14"/>
                <w:szCs w:val="14"/>
                <w:color w:val="0000FF"/>
              </w:rPr>
              <w:t>Certification of Principal Executive Officer Pursuant to 18</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Borders>
              <w:right w:val="single" w:sz="8" w:color="0000FF"/>
            </w:tcBorders>
            <w:gridSpan w:val="7"/>
            <w:shd w:val="clear" w:color="auto" w:fill="0000FF"/>
          </w:tcPr>
          <w:p>
            <w:pPr>
              <w:spacing w:after="0" w:line="20" w:lineRule="exact"/>
              <w:rPr>
                <w:sz w:val="1"/>
                <w:szCs w:val="1"/>
                <w:color w:val="auto"/>
              </w:rPr>
            </w:pPr>
          </w:p>
        </w:tc>
        <w:tc>
          <w:tcPr>
            <w:tcW w:w="1440" w:type="dxa"/>
            <w:vAlign w:val="bottom"/>
            <w:tcBorders>
              <w:left w:val="single" w:sz="8" w:color="0000FF"/>
            </w:tcBorders>
            <w:gridSpan w:val="7"/>
            <w:shd w:val="clear" w:color="auto" w:fill="0000FF"/>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80" w:type="dxa"/>
            <w:vAlign w:val="bottom"/>
            <w:gridSpan w:val="20"/>
          </w:tcPr>
          <w:p>
            <w:pPr>
              <w:spacing w:after="0" w:line="152" w:lineRule="exact"/>
              <w:rPr>
                <w:sz w:val="20"/>
                <w:szCs w:val="20"/>
                <w:color w:val="auto"/>
              </w:rPr>
            </w:pPr>
            <w:r>
              <w:rPr>
                <w:rFonts w:ascii="Times New Roman" w:cs="Times New Roman" w:eastAsia="Times New Roman" w:hAnsi="Times New Roman"/>
                <w:sz w:val="14"/>
                <w:szCs w:val="14"/>
                <w:color w:val="0000FF"/>
              </w:rPr>
              <w:t>U.S.C. Section 1350, as Adopted Pursuant to Section 906 of</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Borders>
              <w:right w:val="single" w:sz="8" w:color="0000FF"/>
            </w:tcBorders>
            <w:gridSpan w:val="7"/>
            <w:shd w:val="clear" w:color="auto" w:fill="0000FF"/>
          </w:tcPr>
          <w:p>
            <w:pPr>
              <w:spacing w:after="0" w:line="20" w:lineRule="exact"/>
              <w:rPr>
                <w:sz w:val="1"/>
                <w:szCs w:val="1"/>
                <w:color w:val="auto"/>
              </w:rPr>
            </w:pPr>
          </w:p>
        </w:tc>
        <w:tc>
          <w:tcPr>
            <w:tcW w:w="1440" w:type="dxa"/>
            <w:vAlign w:val="bottom"/>
            <w:tcBorders>
              <w:left w:val="single" w:sz="8" w:color="0000FF"/>
            </w:tcBorders>
            <w:gridSpan w:val="7"/>
            <w:shd w:val="clear" w:color="auto" w:fill="0000FF"/>
          </w:tcPr>
          <w:p>
            <w:pPr>
              <w:spacing w:after="0" w:line="20" w:lineRule="exact"/>
              <w:rPr>
                <w:sz w:val="1"/>
                <w:szCs w:val="1"/>
                <w:color w:val="auto"/>
              </w:rPr>
            </w:pPr>
          </w:p>
        </w:tc>
        <w:tc>
          <w:tcPr>
            <w:tcW w:w="140" w:type="dxa"/>
            <w:vAlign w:val="bottom"/>
            <w:tcBorders>
              <w:left w:val="single" w:sz="8" w:color="0000FF"/>
            </w:tcBorders>
            <w:gridSpan w:val="3"/>
            <w:shd w:val="clear" w:color="auto" w:fill="0000FF"/>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80" w:type="dxa"/>
            <w:vAlign w:val="bottom"/>
            <w:gridSpan w:val="20"/>
          </w:tcPr>
          <w:p>
            <w:pPr>
              <w:spacing w:after="0" w:line="152" w:lineRule="exact"/>
              <w:rPr>
                <w:sz w:val="20"/>
                <w:szCs w:val="20"/>
                <w:color w:val="auto"/>
              </w:rPr>
            </w:pPr>
            <w:r>
              <w:rPr>
                <w:rFonts w:ascii="Times New Roman" w:cs="Times New Roman" w:eastAsia="Times New Roman" w:hAnsi="Times New Roman"/>
                <w:sz w:val="14"/>
                <w:szCs w:val="14"/>
                <w:color w:val="0000FF"/>
              </w:rPr>
              <w:t>the Sarbanes-Oxley Act of 2002.</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1880" w:type="dxa"/>
            <w:vAlign w:val="bottom"/>
            <w:tcBorders>
              <w:right w:val="single" w:sz="8" w:color="0000EE"/>
            </w:tcBorders>
            <w:gridSpan w:val="7"/>
            <w:shd w:val="clear" w:color="auto" w:fill="0000FF"/>
          </w:tcPr>
          <w:p>
            <w:pPr>
              <w:spacing w:after="0" w:line="20" w:lineRule="exact"/>
              <w:rPr>
                <w:sz w:val="1"/>
                <w:szCs w:val="1"/>
                <w:color w:val="auto"/>
              </w:rPr>
            </w:pPr>
          </w:p>
        </w:tc>
        <w:tc>
          <w:tcPr>
            <w:tcW w:w="1440" w:type="dxa"/>
            <w:vAlign w:val="bottom"/>
            <w:gridSpan w:val="7"/>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4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32.2</w:t>
            </w:r>
          </w:p>
        </w:tc>
        <w:tc>
          <w:tcPr>
            <w:tcW w:w="100" w:type="dxa"/>
            <w:vAlign w:val="bottom"/>
          </w:tcPr>
          <w:p>
            <w:pPr>
              <w:spacing w:after="0"/>
              <w:rPr>
                <w:sz w:val="13"/>
                <w:szCs w:val="13"/>
                <w:color w:val="auto"/>
              </w:rPr>
            </w:pPr>
          </w:p>
        </w:tc>
        <w:tc>
          <w:tcPr>
            <w:tcW w:w="3680" w:type="dxa"/>
            <w:vAlign w:val="bottom"/>
            <w:gridSpan w:val="20"/>
          </w:tcPr>
          <w:p>
            <w:pPr>
              <w:spacing w:after="0" w:line="152" w:lineRule="exact"/>
              <w:rPr>
                <w:sz w:val="20"/>
                <w:szCs w:val="20"/>
                <w:color w:val="auto"/>
              </w:rPr>
            </w:pPr>
            <w:r>
              <w:rPr>
                <w:rFonts w:ascii="Times New Roman" w:cs="Times New Roman" w:eastAsia="Times New Roman" w:hAnsi="Times New Roman"/>
                <w:sz w:val="14"/>
                <w:szCs w:val="14"/>
                <w:color w:val="0000FF"/>
              </w:rPr>
              <w:t>Certification of Principal Financial Officer Pursuant to 18</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20" w:type="dxa"/>
            <w:vAlign w:val="bottom"/>
            <w:gridSpan w:val="14"/>
            <w:shd w:val="clear" w:color="auto" w:fill="0000FF"/>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80" w:type="dxa"/>
            <w:vAlign w:val="bottom"/>
            <w:gridSpan w:val="20"/>
          </w:tcPr>
          <w:p>
            <w:pPr>
              <w:spacing w:after="0" w:line="152" w:lineRule="exact"/>
              <w:rPr>
                <w:sz w:val="20"/>
                <w:szCs w:val="20"/>
                <w:color w:val="auto"/>
              </w:rPr>
            </w:pPr>
            <w:r>
              <w:rPr>
                <w:rFonts w:ascii="Times New Roman" w:cs="Times New Roman" w:eastAsia="Times New Roman" w:hAnsi="Times New Roman"/>
                <w:sz w:val="14"/>
                <w:szCs w:val="14"/>
                <w:color w:val="0000FF"/>
              </w:rPr>
              <w:t>U.S.C. Section 1350, as Adopted Pursuant to Section 906 of</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60" w:type="dxa"/>
            <w:vAlign w:val="bottom"/>
            <w:gridSpan w:val="17"/>
            <w:shd w:val="clear" w:color="auto" w:fill="0000FF"/>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80" w:type="dxa"/>
            <w:vAlign w:val="bottom"/>
            <w:gridSpan w:val="20"/>
          </w:tcPr>
          <w:p>
            <w:pPr>
              <w:spacing w:after="0" w:line="152" w:lineRule="exact"/>
              <w:rPr>
                <w:sz w:val="20"/>
                <w:szCs w:val="20"/>
                <w:color w:val="auto"/>
              </w:rPr>
            </w:pPr>
            <w:r>
              <w:rPr>
                <w:rFonts w:ascii="Times New Roman" w:cs="Times New Roman" w:eastAsia="Times New Roman" w:hAnsi="Times New Roman"/>
                <w:sz w:val="14"/>
                <w:szCs w:val="14"/>
                <w:color w:val="0000FF"/>
              </w:rPr>
              <w:t>the Sarbanes-Oxley Act of 2002.</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1880" w:type="dxa"/>
            <w:vAlign w:val="bottom"/>
            <w:tcBorders>
              <w:right w:val="single" w:sz="8" w:color="0000EE"/>
            </w:tcBorders>
            <w:gridSpan w:val="7"/>
            <w:shd w:val="clear" w:color="auto" w:fill="0000FF"/>
          </w:tcPr>
          <w:p>
            <w:pPr>
              <w:spacing w:after="0" w:line="20" w:lineRule="exact"/>
              <w:rPr>
                <w:sz w:val="1"/>
                <w:szCs w:val="1"/>
                <w:color w:val="auto"/>
              </w:rPr>
            </w:pPr>
          </w:p>
        </w:tc>
        <w:tc>
          <w:tcPr>
            <w:tcW w:w="1800" w:type="dxa"/>
            <w:vAlign w:val="bottom"/>
            <w:gridSpan w:val="1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40" w:type="dxa"/>
            <w:vAlign w:val="bottom"/>
          </w:tcPr>
          <w:p>
            <w:pPr>
              <w:spacing w:after="0"/>
              <w:rPr>
                <w:sz w:val="20"/>
                <w:szCs w:val="20"/>
                <w:color w:val="auto"/>
              </w:rPr>
            </w:pPr>
            <w:r>
              <w:rPr>
                <w:rFonts w:ascii="Times New Roman" w:cs="Times New Roman" w:eastAsia="Times New Roman" w:hAnsi="Times New Roman"/>
                <w:sz w:val="14"/>
                <w:szCs w:val="14"/>
                <w:color w:val="auto"/>
              </w:rPr>
              <w:t>101.INS</w:t>
            </w:r>
          </w:p>
        </w:tc>
        <w:tc>
          <w:tcPr>
            <w:tcW w:w="100" w:type="dxa"/>
            <w:vAlign w:val="bottom"/>
          </w:tcPr>
          <w:p>
            <w:pPr>
              <w:spacing w:after="0"/>
              <w:rPr>
                <w:sz w:val="14"/>
                <w:szCs w:val="14"/>
                <w:color w:val="auto"/>
              </w:rPr>
            </w:pPr>
          </w:p>
        </w:tc>
        <w:tc>
          <w:tcPr>
            <w:tcW w:w="3680" w:type="dxa"/>
            <w:vAlign w:val="bottom"/>
            <w:gridSpan w:val="20"/>
          </w:tcPr>
          <w:p>
            <w:pPr>
              <w:spacing w:after="0"/>
              <w:rPr>
                <w:sz w:val="20"/>
                <w:szCs w:val="20"/>
                <w:color w:val="auto"/>
              </w:rPr>
            </w:pPr>
            <w:r>
              <w:rPr>
                <w:rFonts w:ascii="Times New Roman" w:cs="Times New Roman" w:eastAsia="Times New Roman" w:hAnsi="Times New Roman"/>
                <w:sz w:val="14"/>
                <w:szCs w:val="14"/>
                <w:color w:val="auto"/>
              </w:rPr>
              <w:t>Inline XBRL Instance Document – the instance document does</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80" w:type="dxa"/>
            <w:vAlign w:val="bottom"/>
            <w:gridSpan w:val="20"/>
          </w:tcPr>
          <w:p>
            <w:pPr>
              <w:spacing w:after="0"/>
              <w:rPr>
                <w:sz w:val="20"/>
                <w:szCs w:val="20"/>
                <w:color w:val="auto"/>
              </w:rPr>
            </w:pPr>
            <w:r>
              <w:rPr>
                <w:rFonts w:ascii="Times New Roman" w:cs="Times New Roman" w:eastAsia="Times New Roman" w:hAnsi="Times New Roman"/>
                <w:sz w:val="14"/>
                <w:szCs w:val="14"/>
                <w:color w:val="auto"/>
              </w:rPr>
              <w:t>not appear in the Interactive Data File because XBRL tags are</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80" w:type="dxa"/>
            <w:vAlign w:val="bottom"/>
            <w:gridSpan w:val="20"/>
          </w:tcPr>
          <w:p>
            <w:pPr>
              <w:spacing w:after="0"/>
              <w:rPr>
                <w:sz w:val="20"/>
                <w:szCs w:val="20"/>
                <w:color w:val="auto"/>
              </w:rPr>
            </w:pPr>
            <w:r>
              <w:rPr>
                <w:rFonts w:ascii="Times New Roman" w:cs="Times New Roman" w:eastAsia="Times New Roman" w:hAnsi="Times New Roman"/>
                <w:sz w:val="14"/>
                <w:szCs w:val="14"/>
                <w:color w:val="auto"/>
              </w:rPr>
              <w:t>embedded within the Inline XBRL document.</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101.SCH</w:t>
            </w:r>
          </w:p>
        </w:tc>
        <w:tc>
          <w:tcPr>
            <w:tcW w:w="100" w:type="dxa"/>
            <w:vAlign w:val="bottom"/>
          </w:tcPr>
          <w:p>
            <w:pPr>
              <w:spacing w:after="0"/>
              <w:rPr>
                <w:sz w:val="14"/>
                <w:szCs w:val="14"/>
                <w:color w:val="auto"/>
              </w:rPr>
            </w:pPr>
          </w:p>
        </w:tc>
        <w:tc>
          <w:tcPr>
            <w:tcW w:w="3680" w:type="dxa"/>
            <w:vAlign w:val="bottom"/>
            <w:gridSpan w:val="20"/>
          </w:tcPr>
          <w:p>
            <w:pPr>
              <w:spacing w:after="0"/>
              <w:rPr>
                <w:sz w:val="20"/>
                <w:szCs w:val="20"/>
                <w:color w:val="auto"/>
              </w:rPr>
            </w:pPr>
            <w:r>
              <w:rPr>
                <w:rFonts w:ascii="Times New Roman" w:cs="Times New Roman" w:eastAsia="Times New Roman" w:hAnsi="Times New Roman"/>
                <w:sz w:val="14"/>
                <w:szCs w:val="14"/>
                <w:color w:val="auto"/>
              </w:rPr>
              <w:t>Inline XBRL Taxonomy Extension Schema With Embedded</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80" w:type="dxa"/>
            <w:vAlign w:val="bottom"/>
            <w:gridSpan w:val="20"/>
          </w:tcPr>
          <w:p>
            <w:pPr>
              <w:spacing w:after="0"/>
              <w:rPr>
                <w:sz w:val="20"/>
                <w:szCs w:val="20"/>
                <w:color w:val="auto"/>
              </w:rPr>
            </w:pPr>
            <w:r>
              <w:rPr>
                <w:rFonts w:ascii="Times New Roman" w:cs="Times New Roman" w:eastAsia="Times New Roman" w:hAnsi="Times New Roman"/>
                <w:sz w:val="14"/>
                <w:szCs w:val="14"/>
                <w:color w:val="auto"/>
              </w:rPr>
              <w:t>Linkbase Documents</w:t>
            </w: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1260" w:right="4239" w:hanging="622"/>
        <w:spacing w:after="0" w:line="272" w:lineRule="auto"/>
        <w:tabs>
          <w:tab w:leader="none" w:pos="12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Cover Page Interactive Data File (embedded within the Inline XBRL document)</w:t>
      </w:r>
    </w:p>
    <w:p>
      <w:pPr>
        <w:spacing w:after="0" w:line="137" w:lineRule="exact"/>
        <w:rPr>
          <w:sz w:val="20"/>
          <w:szCs w:val="20"/>
          <w:color w:val="auto"/>
        </w:rPr>
      </w:pPr>
    </w:p>
    <w:p>
      <w:pPr>
        <w:jc w:val="both"/>
        <w:ind w:left="640" w:right="659" w:hanging="2"/>
        <w:spacing w:after="0" w:line="285" w:lineRule="auto"/>
        <w:tabs>
          <w:tab w:leader="none" w:pos="784"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Schedules and similar attachments have been omitted pursuant to Item 601(a)(5) of Regulation S-K. The registrant hereby undertakes to furnish supplementally copies of any of the omitted schedules or similar attachments upon request by the SEC or its staff.</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96" w:right="1440" w:bottom="1440" w:gutter="0" w:footer="0" w:header="0"/>
        </w:sectPr>
      </w:pPr>
    </w:p>
    <w:bookmarkStart w:id="49" w:name="page50"/>
    <w:bookmarkEnd w:id="49"/>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85" w:lineRule="exact"/>
        <w:rPr>
          <w:sz w:val="20"/>
          <w:szCs w:val="20"/>
          <w:color w:val="auto"/>
        </w:rPr>
      </w:pPr>
    </w:p>
    <w:p>
      <w:pPr>
        <w:ind w:left="640" w:right="819" w:firstLine="351"/>
        <w:spacing w:after="0" w:line="292"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thereunto duly authorized.</w:t>
      </w:r>
    </w:p>
    <w:p>
      <w:pPr>
        <w:spacing w:after="0" w:line="124" w:lineRule="exact"/>
        <w:rPr>
          <w:sz w:val="20"/>
          <w:szCs w:val="20"/>
          <w:color w:val="auto"/>
        </w:rPr>
      </w:pPr>
    </w:p>
    <w:tbl>
      <w:tblPr>
        <w:tblLayout w:type="fixed"/>
        <w:tblInd w:w="120" w:type="dxa"/>
        <w:tblCellMar>
          <w:top w:w="0" w:type="dxa"/>
          <w:left w:w="0" w:type="dxa"/>
          <w:bottom w:w="0" w:type="dxa"/>
          <w:right w:w="0" w:type="dxa"/>
        </w:tblCellMar>
      </w:tblPr>
      <w:tr>
        <w:trPr>
          <w:trHeight w:val="186"/>
        </w:trPr>
        <w:tc>
          <w:tcPr>
            <w:tcW w:w="30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408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BrightSpring Health Services, Inc.</w:t>
            </w:r>
          </w:p>
        </w:tc>
      </w:tr>
      <w:tr>
        <w:trPr>
          <w:trHeight w:val="345"/>
        </w:trPr>
        <w:tc>
          <w:tcPr>
            <w:tcW w:w="308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Date: October 30, 2026</w:t>
            </w:r>
          </w:p>
        </w:tc>
        <w:tc>
          <w:tcPr>
            <w:tcW w:w="1620" w:type="dxa"/>
            <w:vAlign w:val="bottom"/>
          </w:tcPr>
          <w:p>
            <w:pPr>
              <w:ind w:left="1320"/>
              <w:spacing w:after="0"/>
              <w:rPr>
                <w:sz w:val="20"/>
                <w:szCs w:val="20"/>
                <w:color w:val="auto"/>
              </w:rPr>
            </w:pPr>
            <w:r>
              <w:rPr>
                <w:rFonts w:ascii="Times New Roman" w:cs="Times New Roman" w:eastAsia="Times New Roman" w:hAnsi="Times New Roman"/>
                <w:sz w:val="14"/>
                <w:szCs w:val="14"/>
                <w:color w:val="auto"/>
              </w:rPr>
              <w:t>By:</w:t>
            </w:r>
          </w:p>
        </w:tc>
        <w:tc>
          <w:tcPr>
            <w:tcW w:w="408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color w:val="auto"/>
              </w:rPr>
              <w:t>/s/ Jon Rousseau</w:t>
            </w:r>
          </w:p>
        </w:tc>
      </w:tr>
      <w:tr>
        <w:trPr>
          <w:trHeight w:val="148"/>
        </w:trPr>
        <w:tc>
          <w:tcPr>
            <w:tcW w:w="30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3560" w:type="dxa"/>
            <w:vAlign w:val="bottom"/>
            <w:tcBorders>
              <w:top w:val="single" w:sz="8" w:color="auto"/>
            </w:tcBorders>
          </w:tcPr>
          <w:p>
            <w:pPr>
              <w:jc w:val="center"/>
              <w:spacing w:after="0" w:line="148" w:lineRule="exact"/>
              <w:rPr>
                <w:sz w:val="20"/>
                <w:szCs w:val="20"/>
                <w:color w:val="auto"/>
              </w:rPr>
            </w:pPr>
            <w:r>
              <w:rPr>
                <w:rFonts w:ascii="Times New Roman" w:cs="Times New Roman" w:eastAsia="Times New Roman" w:hAnsi="Times New Roman"/>
                <w:sz w:val="14"/>
                <w:szCs w:val="14"/>
                <w:color w:val="auto"/>
              </w:rPr>
              <w:t>Jon Rousseau</w:t>
            </w:r>
          </w:p>
        </w:tc>
        <w:tc>
          <w:tcPr>
            <w:tcW w:w="520" w:type="dxa"/>
            <w:vAlign w:val="bottom"/>
          </w:tcPr>
          <w:p>
            <w:pPr>
              <w:spacing w:after="0"/>
              <w:rPr>
                <w:sz w:val="12"/>
                <w:szCs w:val="12"/>
                <w:color w:val="auto"/>
              </w:rPr>
            </w:pPr>
          </w:p>
        </w:tc>
      </w:tr>
      <w:tr>
        <w:trPr>
          <w:trHeight w:val="186"/>
        </w:trPr>
        <w:tc>
          <w:tcPr>
            <w:tcW w:w="30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408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color w:val="auto"/>
              </w:rPr>
              <w:t>Chairman, President, and Chief Executive Officer</w:t>
            </w:r>
          </w:p>
        </w:tc>
      </w:tr>
      <w:tr>
        <w:trPr>
          <w:trHeight w:val="168"/>
        </w:trPr>
        <w:tc>
          <w:tcPr>
            <w:tcW w:w="30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080" w:type="dxa"/>
            <w:vAlign w:val="bottom"/>
            <w:gridSpan w:val="2"/>
          </w:tcPr>
          <w:p>
            <w:pPr>
              <w:jc w:val="center"/>
              <w:ind w:right="540"/>
              <w:spacing w:after="0"/>
              <w:rPr>
                <w:sz w:val="20"/>
                <w:szCs w:val="20"/>
                <w:color w:val="auto"/>
              </w:rPr>
            </w:pPr>
            <w:r>
              <w:rPr>
                <w:rFonts w:ascii="Times New Roman" w:cs="Times New Roman" w:eastAsia="Times New Roman" w:hAnsi="Times New Roman"/>
                <w:sz w:val="13"/>
                <w:szCs w:val="13"/>
                <w:color w:val="auto"/>
                <w:w w:val="98"/>
              </w:rPr>
              <w:t>(Principal Executive Officer)</w:t>
            </w:r>
          </w:p>
        </w:tc>
      </w:tr>
      <w:tr>
        <w:trPr>
          <w:trHeight w:val="349"/>
        </w:trPr>
        <w:tc>
          <w:tcPr>
            <w:tcW w:w="308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Date: October 30, 2026</w:t>
            </w:r>
          </w:p>
        </w:tc>
        <w:tc>
          <w:tcPr>
            <w:tcW w:w="1620" w:type="dxa"/>
            <w:vAlign w:val="bottom"/>
          </w:tcPr>
          <w:p>
            <w:pPr>
              <w:ind w:left="1320"/>
              <w:spacing w:after="0"/>
              <w:rPr>
                <w:sz w:val="20"/>
                <w:szCs w:val="20"/>
                <w:color w:val="auto"/>
              </w:rPr>
            </w:pPr>
            <w:r>
              <w:rPr>
                <w:rFonts w:ascii="Times New Roman" w:cs="Times New Roman" w:eastAsia="Times New Roman" w:hAnsi="Times New Roman"/>
                <w:sz w:val="14"/>
                <w:szCs w:val="14"/>
                <w:color w:val="auto"/>
              </w:rPr>
              <w:t>By:</w:t>
            </w:r>
          </w:p>
        </w:tc>
        <w:tc>
          <w:tcPr>
            <w:tcW w:w="408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color w:val="auto"/>
              </w:rPr>
              <w:t>/s/ Jennifer Phipps</w:t>
            </w:r>
          </w:p>
        </w:tc>
      </w:tr>
      <w:tr>
        <w:trPr>
          <w:trHeight w:val="148"/>
        </w:trPr>
        <w:tc>
          <w:tcPr>
            <w:tcW w:w="30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3560" w:type="dxa"/>
            <w:vAlign w:val="bottom"/>
            <w:tcBorders>
              <w:top w:val="single" w:sz="8" w:color="auto"/>
            </w:tcBorders>
          </w:tcPr>
          <w:p>
            <w:pPr>
              <w:jc w:val="center"/>
              <w:spacing w:after="0" w:line="148" w:lineRule="exact"/>
              <w:rPr>
                <w:sz w:val="20"/>
                <w:szCs w:val="20"/>
                <w:color w:val="auto"/>
              </w:rPr>
            </w:pPr>
            <w:r>
              <w:rPr>
                <w:rFonts w:ascii="Times New Roman" w:cs="Times New Roman" w:eastAsia="Times New Roman" w:hAnsi="Times New Roman"/>
                <w:sz w:val="14"/>
                <w:szCs w:val="14"/>
                <w:color w:val="auto"/>
              </w:rPr>
              <w:t>Jennifer Phipps</w:t>
            </w:r>
          </w:p>
        </w:tc>
        <w:tc>
          <w:tcPr>
            <w:tcW w:w="520" w:type="dxa"/>
            <w:vAlign w:val="bottom"/>
          </w:tcPr>
          <w:p>
            <w:pPr>
              <w:spacing w:after="0"/>
              <w:rPr>
                <w:sz w:val="12"/>
                <w:szCs w:val="12"/>
                <w:color w:val="auto"/>
              </w:rPr>
            </w:pPr>
          </w:p>
        </w:tc>
      </w:tr>
      <w:tr>
        <w:trPr>
          <w:trHeight w:val="186"/>
        </w:trPr>
        <w:tc>
          <w:tcPr>
            <w:tcW w:w="30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408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color w:val="auto"/>
              </w:rPr>
              <w:t>Executive Vice President and Chief Financial Officer</w:t>
            </w:r>
          </w:p>
        </w:tc>
      </w:tr>
      <w:tr>
        <w:trPr>
          <w:trHeight w:val="168"/>
        </w:trPr>
        <w:tc>
          <w:tcPr>
            <w:tcW w:w="30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080" w:type="dxa"/>
            <w:vAlign w:val="bottom"/>
            <w:gridSpan w:val="2"/>
          </w:tcPr>
          <w:p>
            <w:pPr>
              <w:jc w:val="center"/>
              <w:ind w:right="540"/>
              <w:spacing w:after="0"/>
              <w:rPr>
                <w:sz w:val="20"/>
                <w:szCs w:val="20"/>
                <w:color w:val="auto"/>
              </w:rPr>
            </w:pPr>
            <w:r>
              <w:rPr>
                <w:rFonts w:ascii="Times New Roman" w:cs="Times New Roman" w:eastAsia="Times New Roman" w:hAnsi="Times New Roman"/>
                <w:sz w:val="13"/>
                <w:szCs w:val="13"/>
                <w:color w:val="auto"/>
                <w:w w:val="98"/>
              </w:rPr>
              <w:t>(Principal Financial Officer)</w:t>
            </w:r>
          </w:p>
        </w:tc>
      </w:tr>
      <w:tr>
        <w:trPr>
          <w:trHeight w:val="519"/>
        </w:trPr>
        <w:tc>
          <w:tcPr>
            <w:tcW w:w="3080" w:type="dxa"/>
            <w:vAlign w:val="bottom"/>
          </w:tcPr>
          <w:p>
            <w:pPr>
              <w:spacing w:after="0"/>
              <w:rPr>
                <w:sz w:val="24"/>
                <w:szCs w:val="24"/>
                <w:color w:val="auto"/>
              </w:rPr>
            </w:pPr>
          </w:p>
        </w:tc>
        <w:tc>
          <w:tcPr>
            <w:tcW w:w="16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48</w:t>
            </w:r>
          </w:p>
        </w:tc>
        <w:tc>
          <w:tcPr>
            <w:tcW w:w="356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604"/>
        </w:trPr>
        <w:tc>
          <w:tcPr>
            <w:tcW w:w="308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35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5629910</wp:posOffset>
            </wp:positionH>
            <wp:positionV relativeFrom="paragraph">
              <wp:posOffset>-25400</wp:posOffset>
            </wp:positionV>
            <wp:extent cx="32385" cy="3873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58420</wp:posOffset>
            </wp:positionH>
            <wp:positionV relativeFrom="paragraph">
              <wp:posOffset>-25400</wp:posOffset>
            </wp:positionV>
            <wp:extent cx="32385" cy="3873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4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9019"/>
          </w:cols>
          <w:pgMar w:left="1440" w:top="896" w:right="1440" w:bottom="1440" w:gutter="0" w:footer="0" w:header="0"/>
        </w:sectPr>
      </w:pPr>
    </w:p>
    <w:bookmarkStart w:id="50" w:name="page51"/>
    <w:bookmarkEnd w:id="50"/>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1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BRIGHTSPRING HEALTH SERVICES, INC.</w:t>
      </w:r>
    </w:p>
    <w:p>
      <w:pPr>
        <w:spacing w:after="0" w:line="120" w:lineRule="exact"/>
        <w:rPr>
          <w:sz w:val="20"/>
          <w:szCs w:val="20"/>
          <w:color w:val="auto"/>
        </w:rPr>
      </w:pPr>
    </w:p>
    <w:p>
      <w:pPr>
        <w:jc w:val="center"/>
        <w:ind w:left="120" w:right="139"/>
        <w:spacing w:after="0" w:line="274" w:lineRule="auto"/>
        <w:rPr>
          <w:sz w:val="20"/>
          <w:szCs w:val="20"/>
          <w:color w:val="auto"/>
        </w:rPr>
      </w:pPr>
      <w:r>
        <w:rPr>
          <w:rFonts w:ascii="Times New Roman" w:cs="Times New Roman" w:eastAsia="Times New Roman" w:hAnsi="Times New Roman"/>
          <w:sz w:val="14"/>
          <w:szCs w:val="14"/>
          <w:color w:val="auto"/>
        </w:rPr>
        <w:t>CERTIFICATION OF CHIEF EXECUTIVE OFFICER PURSUANT TO RULE 13a-14(a) AND RULE 15d-14(a) OF THE SECURITIES EXCHANGE ACT OF 1934 AS ADOPTED PURSUANT TO SECTION 302 OF THE SARBANES-OXLEY ACT OF 2002</w:t>
      </w:r>
    </w:p>
    <w:p>
      <w:pPr>
        <w:spacing w:after="0" w:line="8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I, Jon Rousseau, certify that:</w:t>
      </w:r>
    </w:p>
    <w:p>
      <w:pPr>
        <w:spacing w:after="0" w:line="129" w:lineRule="exact"/>
        <w:rPr>
          <w:sz w:val="20"/>
          <w:szCs w:val="20"/>
          <w:color w:val="auto"/>
        </w:rPr>
      </w:pPr>
    </w:p>
    <w:p>
      <w:pPr>
        <w:ind w:left="1160" w:right="1119" w:hanging="264"/>
        <w:spacing w:after="0" w:line="292" w:lineRule="auto"/>
        <w:tabs>
          <w:tab w:leader="none" w:pos="11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for the period ended September 30, 2026 of BrightSpring Health Services, Inc.;</w:t>
      </w:r>
    </w:p>
    <w:p>
      <w:pPr>
        <w:spacing w:after="0" w:line="59" w:lineRule="exact"/>
        <w:rPr>
          <w:rFonts w:ascii="Times New Roman" w:cs="Times New Roman" w:eastAsia="Times New Roman" w:hAnsi="Times New Roman"/>
          <w:sz w:val="14"/>
          <w:szCs w:val="14"/>
          <w:color w:val="auto"/>
        </w:rPr>
      </w:pPr>
    </w:p>
    <w:p>
      <w:pPr>
        <w:ind w:left="1160" w:right="659" w:hanging="264"/>
        <w:spacing w:after="0" w:line="274" w:lineRule="auto"/>
        <w:tabs>
          <w:tab w:leader="none" w:pos="11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2" w:lineRule="exact"/>
        <w:rPr>
          <w:rFonts w:ascii="Times New Roman" w:cs="Times New Roman" w:eastAsia="Times New Roman" w:hAnsi="Times New Roman"/>
          <w:sz w:val="14"/>
          <w:szCs w:val="14"/>
          <w:color w:val="auto"/>
        </w:rPr>
      </w:pPr>
    </w:p>
    <w:p>
      <w:pPr>
        <w:ind w:left="1160" w:right="719" w:hanging="264"/>
        <w:spacing w:after="0" w:line="274" w:lineRule="auto"/>
        <w:tabs>
          <w:tab w:leader="none" w:pos="11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2" w:lineRule="exact"/>
        <w:rPr>
          <w:rFonts w:ascii="Times New Roman" w:cs="Times New Roman" w:eastAsia="Times New Roman" w:hAnsi="Times New Roman"/>
          <w:sz w:val="14"/>
          <w:szCs w:val="14"/>
          <w:color w:val="auto"/>
        </w:rPr>
      </w:pPr>
    </w:p>
    <w:p>
      <w:pPr>
        <w:ind w:left="1160" w:right="999" w:hanging="264"/>
        <w:spacing w:after="0" w:line="274" w:lineRule="auto"/>
        <w:tabs>
          <w:tab w:leader="none" w:pos="11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1" w:lineRule="exact"/>
        <w:rPr>
          <w:rFonts w:ascii="Times New Roman" w:cs="Times New Roman" w:eastAsia="Times New Roman" w:hAnsi="Times New Roman"/>
          <w:sz w:val="14"/>
          <w:szCs w:val="14"/>
          <w:color w:val="auto"/>
        </w:rPr>
      </w:pPr>
    </w:p>
    <w:p>
      <w:pPr>
        <w:ind w:left="1660" w:right="699" w:hanging="249"/>
        <w:spacing w:after="0" w:line="268" w:lineRule="auto"/>
        <w:tabs>
          <w:tab w:leader="none" w:pos="1660" w:val="left"/>
        </w:tabs>
        <w:numPr>
          <w:ilvl w:val="1"/>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Times New Roman" w:cs="Times New Roman" w:eastAsia="Times New Roman" w:hAnsi="Times New Roman"/>
          <w:sz w:val="14"/>
          <w:szCs w:val="14"/>
          <w:color w:val="auto"/>
        </w:rPr>
      </w:pPr>
    </w:p>
    <w:p>
      <w:pPr>
        <w:ind w:left="1660" w:right="679" w:hanging="249"/>
        <w:spacing w:after="0" w:line="271" w:lineRule="auto"/>
        <w:tabs>
          <w:tab w:leader="none" w:pos="1660" w:val="left"/>
        </w:tabs>
        <w:numPr>
          <w:ilvl w:val="1"/>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60" w:lineRule="exact"/>
        <w:rPr>
          <w:rFonts w:ascii="Times New Roman" w:cs="Times New Roman" w:eastAsia="Times New Roman" w:hAnsi="Times New Roman"/>
          <w:sz w:val="14"/>
          <w:szCs w:val="14"/>
          <w:color w:val="auto"/>
        </w:rPr>
      </w:pPr>
    </w:p>
    <w:p>
      <w:pPr>
        <w:ind w:left="1660" w:right="699" w:hanging="249"/>
        <w:spacing w:after="0" w:line="274" w:lineRule="auto"/>
        <w:tabs>
          <w:tab w:leader="none" w:pos="1660" w:val="left"/>
        </w:tabs>
        <w:numPr>
          <w:ilvl w:val="1"/>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1" w:lineRule="exact"/>
        <w:rPr>
          <w:rFonts w:ascii="Times New Roman" w:cs="Times New Roman" w:eastAsia="Times New Roman" w:hAnsi="Times New Roman"/>
          <w:sz w:val="14"/>
          <w:szCs w:val="14"/>
          <w:color w:val="auto"/>
        </w:rPr>
      </w:pPr>
    </w:p>
    <w:p>
      <w:pPr>
        <w:ind w:left="1660" w:right="799" w:hanging="249"/>
        <w:spacing w:after="0" w:line="268" w:lineRule="auto"/>
        <w:tabs>
          <w:tab w:leader="none" w:pos="1660" w:val="left"/>
        </w:tabs>
        <w:numPr>
          <w:ilvl w:val="1"/>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Times New Roman" w:cs="Times New Roman" w:eastAsia="Times New Roman" w:hAnsi="Times New Roman"/>
          <w:sz w:val="14"/>
          <w:szCs w:val="14"/>
          <w:color w:val="auto"/>
        </w:rPr>
      </w:pPr>
    </w:p>
    <w:p>
      <w:pPr>
        <w:ind w:left="1160" w:right="939" w:hanging="264"/>
        <w:spacing w:after="0" w:line="274" w:lineRule="auto"/>
        <w:tabs>
          <w:tab w:leader="none" w:pos="11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2" w:lineRule="exact"/>
        <w:rPr>
          <w:rFonts w:ascii="Times New Roman" w:cs="Times New Roman" w:eastAsia="Times New Roman" w:hAnsi="Times New Roman"/>
          <w:sz w:val="14"/>
          <w:szCs w:val="14"/>
          <w:color w:val="auto"/>
        </w:rPr>
      </w:pPr>
    </w:p>
    <w:p>
      <w:pPr>
        <w:ind w:left="1660" w:right="839" w:hanging="249"/>
        <w:spacing w:after="0" w:line="274" w:lineRule="auto"/>
        <w:tabs>
          <w:tab w:leader="none" w:pos="1660" w:val="left"/>
        </w:tabs>
        <w:numPr>
          <w:ilvl w:val="1"/>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1" w:lineRule="exact"/>
        <w:rPr>
          <w:rFonts w:ascii="Times New Roman" w:cs="Times New Roman" w:eastAsia="Times New Roman" w:hAnsi="Times New Roman"/>
          <w:sz w:val="14"/>
          <w:szCs w:val="14"/>
          <w:color w:val="auto"/>
        </w:rPr>
      </w:pPr>
    </w:p>
    <w:p>
      <w:pPr>
        <w:ind w:left="1660" w:right="699" w:hanging="249"/>
        <w:spacing w:after="0" w:line="292" w:lineRule="auto"/>
        <w:tabs>
          <w:tab w:leader="none" w:pos="1660" w:val="left"/>
        </w:tabs>
        <w:numPr>
          <w:ilvl w:val="1"/>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360" w:lineRule="exact"/>
        <w:rPr>
          <w:sz w:val="20"/>
          <w:szCs w:val="20"/>
          <w:color w:val="auto"/>
        </w:rPr>
      </w:pPr>
    </w:p>
    <w:tbl>
      <w:tblPr>
        <w:tblLayout w:type="fixed"/>
        <w:tblInd w:w="120" w:type="dxa"/>
        <w:tblCellMar>
          <w:top w:w="0" w:type="dxa"/>
          <w:left w:w="0" w:type="dxa"/>
          <w:bottom w:w="0" w:type="dxa"/>
          <w:right w:w="0" w:type="dxa"/>
        </w:tblCellMar>
      </w:tblPr>
      <w:tr>
        <w:trPr>
          <w:trHeight w:val="186"/>
        </w:trPr>
        <w:tc>
          <w:tcPr>
            <w:tcW w:w="520" w:type="dxa"/>
            <w:vAlign w:val="bottom"/>
          </w:tcPr>
          <w:p>
            <w:pPr>
              <w:spacing w:after="0"/>
              <w:rPr>
                <w:sz w:val="16"/>
                <w:szCs w:val="16"/>
                <w:color w:val="auto"/>
              </w:rPr>
            </w:pPr>
          </w:p>
        </w:tc>
        <w:tc>
          <w:tcPr>
            <w:tcW w:w="16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October 30, 2026</w:t>
            </w:r>
          </w:p>
        </w:tc>
        <w:tc>
          <w:tcPr>
            <w:tcW w:w="1560" w:type="dxa"/>
            <w:vAlign w:val="bottom"/>
          </w:tcPr>
          <w:p>
            <w:pPr>
              <w:spacing w:after="0"/>
              <w:rPr>
                <w:sz w:val="16"/>
                <w:szCs w:val="16"/>
                <w:color w:val="auto"/>
              </w:rPr>
            </w:pPr>
          </w:p>
        </w:tc>
        <w:tc>
          <w:tcPr>
            <w:tcW w:w="5060" w:type="dxa"/>
            <w:vAlign w:val="bottom"/>
            <w:gridSpan w:val="2"/>
          </w:tcPr>
          <w:p>
            <w:pPr>
              <w:jc w:val="center"/>
              <w:ind w:right="820"/>
              <w:spacing w:after="0"/>
              <w:rPr>
                <w:sz w:val="20"/>
                <w:szCs w:val="20"/>
                <w:color w:val="auto"/>
              </w:rPr>
            </w:pPr>
            <w:r>
              <w:rPr>
                <w:rFonts w:ascii="Times New Roman" w:cs="Times New Roman" w:eastAsia="Times New Roman" w:hAnsi="Times New Roman"/>
                <w:sz w:val="14"/>
                <w:szCs w:val="14"/>
                <w:color w:val="auto"/>
              </w:rPr>
              <w:t>/s/ Jon Rousseau</w:t>
            </w:r>
          </w:p>
        </w:tc>
      </w:tr>
      <w:tr>
        <w:trPr>
          <w:trHeight w:val="170"/>
        </w:trPr>
        <w:tc>
          <w:tcPr>
            <w:tcW w:w="520" w:type="dxa"/>
            <w:vAlign w:val="bottom"/>
          </w:tcPr>
          <w:p>
            <w:pPr>
              <w:spacing w:after="0"/>
              <w:rPr>
                <w:sz w:val="14"/>
                <w:szCs w:val="14"/>
                <w:color w:val="auto"/>
              </w:rPr>
            </w:pPr>
          </w:p>
        </w:tc>
        <w:tc>
          <w:tcPr>
            <w:tcW w:w="164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Date</w:t>
            </w:r>
          </w:p>
        </w:tc>
        <w:tc>
          <w:tcPr>
            <w:tcW w:w="1560" w:type="dxa"/>
            <w:vAlign w:val="bottom"/>
          </w:tcPr>
          <w:p>
            <w:pPr>
              <w:spacing w:after="0"/>
              <w:rPr>
                <w:sz w:val="14"/>
                <w:szCs w:val="14"/>
                <w:color w:val="auto"/>
              </w:rPr>
            </w:pPr>
          </w:p>
        </w:tc>
        <w:tc>
          <w:tcPr>
            <w:tcW w:w="4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Jon Rousseau</w:t>
            </w:r>
          </w:p>
        </w:tc>
        <w:tc>
          <w:tcPr>
            <w:tcW w:w="840" w:type="dxa"/>
            <w:vAlign w:val="bottom"/>
          </w:tcPr>
          <w:p>
            <w:pPr>
              <w:spacing w:after="0"/>
              <w:rPr>
                <w:sz w:val="14"/>
                <w:szCs w:val="14"/>
                <w:color w:val="auto"/>
              </w:rPr>
            </w:pPr>
          </w:p>
        </w:tc>
      </w:tr>
      <w:tr>
        <w:trPr>
          <w:trHeight w:val="183"/>
        </w:trPr>
        <w:tc>
          <w:tcPr>
            <w:tcW w:w="5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5060" w:type="dxa"/>
            <w:vAlign w:val="bottom"/>
            <w:gridSpan w:val="2"/>
          </w:tcPr>
          <w:p>
            <w:pPr>
              <w:jc w:val="center"/>
              <w:ind w:right="840"/>
              <w:spacing w:after="0"/>
              <w:rPr>
                <w:sz w:val="20"/>
                <w:szCs w:val="20"/>
                <w:color w:val="auto"/>
              </w:rPr>
            </w:pPr>
            <w:r>
              <w:rPr>
                <w:rFonts w:ascii="Times New Roman" w:cs="Times New Roman" w:eastAsia="Times New Roman" w:hAnsi="Times New Roman"/>
                <w:sz w:val="14"/>
                <w:szCs w:val="14"/>
                <w:color w:val="auto"/>
              </w:rPr>
              <w:t>Chairman, President, and Chief Executive Officer</w:t>
            </w:r>
          </w:p>
        </w:tc>
      </w:tr>
      <w:tr>
        <w:trPr>
          <w:trHeight w:val="186"/>
        </w:trPr>
        <w:tc>
          <w:tcPr>
            <w:tcW w:w="5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5060" w:type="dxa"/>
            <w:vAlign w:val="bottom"/>
            <w:gridSpan w:val="2"/>
          </w:tcPr>
          <w:p>
            <w:pPr>
              <w:jc w:val="center"/>
              <w:ind w:right="840"/>
              <w:spacing w:after="0"/>
              <w:rPr>
                <w:sz w:val="20"/>
                <w:szCs w:val="20"/>
                <w:color w:val="auto"/>
              </w:rPr>
            </w:pPr>
            <w:r>
              <w:rPr>
                <w:rFonts w:ascii="Times New Roman" w:cs="Times New Roman" w:eastAsia="Times New Roman" w:hAnsi="Times New Roman"/>
                <w:sz w:val="14"/>
                <w:szCs w:val="14"/>
                <w:color w:val="auto"/>
              </w:rPr>
              <w:t>(Principal Executive Officer)</w:t>
            </w:r>
          </w:p>
        </w:tc>
      </w:tr>
      <w:tr>
        <w:trPr>
          <w:trHeight w:val="883"/>
        </w:trPr>
        <w:tc>
          <w:tcPr>
            <w:tcW w:w="52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42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5629910</wp:posOffset>
            </wp:positionH>
            <wp:positionV relativeFrom="paragraph">
              <wp:posOffset>-25400</wp:posOffset>
            </wp:positionV>
            <wp:extent cx="32385" cy="3873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4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58420</wp:posOffset>
            </wp:positionH>
            <wp:positionV relativeFrom="paragraph">
              <wp:posOffset>-25400</wp:posOffset>
            </wp:positionV>
            <wp:extent cx="32385" cy="3873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4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9019"/>
          </w:cols>
          <w:pgMar w:left="1440" w:top="638" w:right="1440" w:bottom="1440" w:gutter="0" w:footer="0" w:header="0"/>
        </w:sectPr>
      </w:pPr>
    </w:p>
    <w:bookmarkStart w:id="51" w:name="page52"/>
    <w:bookmarkEnd w:id="51"/>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1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BRIGHTSPRING HEALTH SERVICES, INC.</w:t>
      </w:r>
    </w:p>
    <w:p>
      <w:pPr>
        <w:spacing w:after="0" w:line="120" w:lineRule="exact"/>
        <w:rPr>
          <w:sz w:val="20"/>
          <w:szCs w:val="20"/>
          <w:color w:val="auto"/>
        </w:rPr>
      </w:pPr>
    </w:p>
    <w:p>
      <w:pPr>
        <w:jc w:val="center"/>
        <w:ind w:left="120" w:right="139"/>
        <w:spacing w:after="0" w:line="274" w:lineRule="auto"/>
        <w:rPr>
          <w:sz w:val="20"/>
          <w:szCs w:val="20"/>
          <w:color w:val="auto"/>
        </w:rPr>
      </w:pPr>
      <w:r>
        <w:rPr>
          <w:rFonts w:ascii="Times New Roman" w:cs="Times New Roman" w:eastAsia="Times New Roman" w:hAnsi="Times New Roman"/>
          <w:sz w:val="14"/>
          <w:szCs w:val="14"/>
          <w:color w:val="auto"/>
        </w:rPr>
        <w:t>CERTIFICATION OF CHIEF FINANCIAL OFFICER PURSUANT TO RULE 13a-14(a) AND RULE 15d-14(a) OF THE SECURITIES EXCHANGE ACT OF 1934 AS ADOPTED PURSUANT TO SECTION 302 OF THE SARBANES-OXLEY ACT OF 2002</w:t>
      </w:r>
    </w:p>
    <w:p>
      <w:pPr>
        <w:spacing w:after="0" w:line="8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I, Jennifer Phipps, certify that:</w:t>
      </w:r>
    </w:p>
    <w:p>
      <w:pPr>
        <w:spacing w:after="0" w:line="129" w:lineRule="exact"/>
        <w:rPr>
          <w:sz w:val="20"/>
          <w:szCs w:val="20"/>
          <w:color w:val="auto"/>
        </w:rPr>
      </w:pPr>
    </w:p>
    <w:p>
      <w:pPr>
        <w:ind w:left="1160" w:right="1119" w:hanging="264"/>
        <w:spacing w:after="0" w:line="292" w:lineRule="auto"/>
        <w:tabs>
          <w:tab w:leader="none" w:pos="11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for the period ended September 30, 2026 of BrightSpring Health Services, Inc.;</w:t>
      </w:r>
    </w:p>
    <w:p>
      <w:pPr>
        <w:spacing w:after="0" w:line="59" w:lineRule="exact"/>
        <w:rPr>
          <w:rFonts w:ascii="Times New Roman" w:cs="Times New Roman" w:eastAsia="Times New Roman" w:hAnsi="Times New Roman"/>
          <w:sz w:val="14"/>
          <w:szCs w:val="14"/>
          <w:color w:val="auto"/>
        </w:rPr>
      </w:pPr>
    </w:p>
    <w:p>
      <w:pPr>
        <w:ind w:left="1160" w:right="659" w:hanging="264"/>
        <w:spacing w:after="0" w:line="274" w:lineRule="auto"/>
        <w:tabs>
          <w:tab w:leader="none" w:pos="11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2" w:lineRule="exact"/>
        <w:rPr>
          <w:rFonts w:ascii="Times New Roman" w:cs="Times New Roman" w:eastAsia="Times New Roman" w:hAnsi="Times New Roman"/>
          <w:sz w:val="14"/>
          <w:szCs w:val="14"/>
          <w:color w:val="auto"/>
        </w:rPr>
      </w:pPr>
    </w:p>
    <w:p>
      <w:pPr>
        <w:ind w:left="1160" w:right="719" w:hanging="264"/>
        <w:spacing w:after="0" w:line="274" w:lineRule="auto"/>
        <w:tabs>
          <w:tab w:leader="none" w:pos="11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2" w:lineRule="exact"/>
        <w:rPr>
          <w:rFonts w:ascii="Times New Roman" w:cs="Times New Roman" w:eastAsia="Times New Roman" w:hAnsi="Times New Roman"/>
          <w:sz w:val="14"/>
          <w:szCs w:val="14"/>
          <w:color w:val="auto"/>
        </w:rPr>
      </w:pPr>
    </w:p>
    <w:p>
      <w:pPr>
        <w:ind w:left="1160" w:right="999" w:hanging="264"/>
        <w:spacing w:after="0" w:line="274" w:lineRule="auto"/>
        <w:tabs>
          <w:tab w:leader="none" w:pos="11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1" w:lineRule="exact"/>
        <w:rPr>
          <w:rFonts w:ascii="Times New Roman" w:cs="Times New Roman" w:eastAsia="Times New Roman" w:hAnsi="Times New Roman"/>
          <w:sz w:val="14"/>
          <w:szCs w:val="14"/>
          <w:color w:val="auto"/>
        </w:rPr>
      </w:pPr>
    </w:p>
    <w:p>
      <w:pPr>
        <w:ind w:left="1660" w:right="699" w:hanging="249"/>
        <w:spacing w:after="0" w:line="268" w:lineRule="auto"/>
        <w:tabs>
          <w:tab w:leader="none" w:pos="1660" w:val="left"/>
        </w:tabs>
        <w:numPr>
          <w:ilvl w:val="1"/>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Times New Roman" w:cs="Times New Roman" w:eastAsia="Times New Roman" w:hAnsi="Times New Roman"/>
          <w:sz w:val="14"/>
          <w:szCs w:val="14"/>
          <w:color w:val="auto"/>
        </w:rPr>
      </w:pPr>
    </w:p>
    <w:p>
      <w:pPr>
        <w:ind w:left="1660" w:right="679" w:hanging="249"/>
        <w:spacing w:after="0" w:line="271" w:lineRule="auto"/>
        <w:tabs>
          <w:tab w:leader="none" w:pos="1660" w:val="left"/>
        </w:tabs>
        <w:numPr>
          <w:ilvl w:val="1"/>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60" w:lineRule="exact"/>
        <w:rPr>
          <w:rFonts w:ascii="Times New Roman" w:cs="Times New Roman" w:eastAsia="Times New Roman" w:hAnsi="Times New Roman"/>
          <w:sz w:val="14"/>
          <w:szCs w:val="14"/>
          <w:color w:val="auto"/>
        </w:rPr>
      </w:pPr>
    </w:p>
    <w:p>
      <w:pPr>
        <w:ind w:left="1660" w:right="699" w:hanging="249"/>
        <w:spacing w:after="0" w:line="274" w:lineRule="auto"/>
        <w:tabs>
          <w:tab w:leader="none" w:pos="1660" w:val="left"/>
        </w:tabs>
        <w:numPr>
          <w:ilvl w:val="1"/>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1" w:lineRule="exact"/>
        <w:rPr>
          <w:rFonts w:ascii="Times New Roman" w:cs="Times New Roman" w:eastAsia="Times New Roman" w:hAnsi="Times New Roman"/>
          <w:sz w:val="14"/>
          <w:szCs w:val="14"/>
          <w:color w:val="auto"/>
        </w:rPr>
      </w:pPr>
    </w:p>
    <w:p>
      <w:pPr>
        <w:ind w:left="1660" w:right="799" w:hanging="249"/>
        <w:spacing w:after="0" w:line="268" w:lineRule="auto"/>
        <w:tabs>
          <w:tab w:leader="none" w:pos="1660" w:val="left"/>
        </w:tabs>
        <w:numPr>
          <w:ilvl w:val="1"/>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Times New Roman" w:cs="Times New Roman" w:eastAsia="Times New Roman" w:hAnsi="Times New Roman"/>
          <w:sz w:val="14"/>
          <w:szCs w:val="14"/>
          <w:color w:val="auto"/>
        </w:rPr>
      </w:pPr>
    </w:p>
    <w:p>
      <w:pPr>
        <w:ind w:left="1160" w:right="939" w:hanging="264"/>
        <w:spacing w:after="0" w:line="274" w:lineRule="auto"/>
        <w:tabs>
          <w:tab w:leader="none" w:pos="11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2" w:lineRule="exact"/>
        <w:rPr>
          <w:rFonts w:ascii="Times New Roman" w:cs="Times New Roman" w:eastAsia="Times New Roman" w:hAnsi="Times New Roman"/>
          <w:sz w:val="14"/>
          <w:szCs w:val="14"/>
          <w:color w:val="auto"/>
        </w:rPr>
      </w:pPr>
    </w:p>
    <w:p>
      <w:pPr>
        <w:ind w:left="1660" w:right="839" w:hanging="249"/>
        <w:spacing w:after="0" w:line="274" w:lineRule="auto"/>
        <w:tabs>
          <w:tab w:leader="none" w:pos="1660" w:val="left"/>
        </w:tabs>
        <w:numPr>
          <w:ilvl w:val="1"/>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1" w:lineRule="exact"/>
        <w:rPr>
          <w:rFonts w:ascii="Times New Roman" w:cs="Times New Roman" w:eastAsia="Times New Roman" w:hAnsi="Times New Roman"/>
          <w:sz w:val="14"/>
          <w:szCs w:val="14"/>
          <w:color w:val="auto"/>
        </w:rPr>
      </w:pPr>
    </w:p>
    <w:p>
      <w:pPr>
        <w:ind w:left="1660" w:right="699" w:hanging="249"/>
        <w:spacing w:after="0" w:line="292" w:lineRule="auto"/>
        <w:tabs>
          <w:tab w:leader="none" w:pos="1660" w:val="left"/>
        </w:tabs>
        <w:numPr>
          <w:ilvl w:val="1"/>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360" w:lineRule="exact"/>
        <w:rPr>
          <w:sz w:val="20"/>
          <w:szCs w:val="20"/>
          <w:color w:val="auto"/>
        </w:rPr>
      </w:pPr>
    </w:p>
    <w:tbl>
      <w:tblPr>
        <w:tblLayout w:type="fixed"/>
        <w:tblInd w:w="120" w:type="dxa"/>
        <w:tblCellMar>
          <w:top w:w="0" w:type="dxa"/>
          <w:left w:w="0" w:type="dxa"/>
          <w:bottom w:w="0" w:type="dxa"/>
          <w:right w:w="0" w:type="dxa"/>
        </w:tblCellMar>
      </w:tblPr>
      <w:tr>
        <w:trPr>
          <w:trHeight w:val="186"/>
        </w:trPr>
        <w:tc>
          <w:tcPr>
            <w:tcW w:w="520" w:type="dxa"/>
            <w:vAlign w:val="bottom"/>
          </w:tcPr>
          <w:p>
            <w:pPr>
              <w:spacing w:after="0"/>
              <w:rPr>
                <w:sz w:val="16"/>
                <w:szCs w:val="16"/>
                <w:color w:val="auto"/>
              </w:rPr>
            </w:pPr>
          </w:p>
        </w:tc>
        <w:tc>
          <w:tcPr>
            <w:tcW w:w="16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October 30, 2026</w:t>
            </w:r>
          </w:p>
        </w:tc>
        <w:tc>
          <w:tcPr>
            <w:tcW w:w="1560" w:type="dxa"/>
            <w:vAlign w:val="bottom"/>
          </w:tcPr>
          <w:p>
            <w:pPr>
              <w:spacing w:after="0"/>
              <w:rPr>
                <w:sz w:val="16"/>
                <w:szCs w:val="16"/>
                <w:color w:val="auto"/>
              </w:rPr>
            </w:pPr>
          </w:p>
        </w:tc>
        <w:tc>
          <w:tcPr>
            <w:tcW w:w="5060" w:type="dxa"/>
            <w:vAlign w:val="bottom"/>
            <w:gridSpan w:val="2"/>
          </w:tcPr>
          <w:p>
            <w:pPr>
              <w:jc w:val="center"/>
              <w:ind w:right="840"/>
              <w:spacing w:after="0"/>
              <w:rPr>
                <w:sz w:val="20"/>
                <w:szCs w:val="20"/>
                <w:color w:val="auto"/>
              </w:rPr>
            </w:pPr>
            <w:r>
              <w:rPr>
                <w:rFonts w:ascii="Times New Roman" w:cs="Times New Roman" w:eastAsia="Times New Roman" w:hAnsi="Times New Roman"/>
                <w:sz w:val="14"/>
                <w:szCs w:val="14"/>
                <w:color w:val="auto"/>
              </w:rPr>
              <w:t>/s/ Jennifer Phipps</w:t>
            </w:r>
          </w:p>
        </w:tc>
      </w:tr>
      <w:tr>
        <w:trPr>
          <w:trHeight w:val="170"/>
        </w:trPr>
        <w:tc>
          <w:tcPr>
            <w:tcW w:w="520" w:type="dxa"/>
            <w:vAlign w:val="bottom"/>
          </w:tcPr>
          <w:p>
            <w:pPr>
              <w:spacing w:after="0"/>
              <w:rPr>
                <w:sz w:val="14"/>
                <w:szCs w:val="14"/>
                <w:color w:val="auto"/>
              </w:rPr>
            </w:pPr>
          </w:p>
        </w:tc>
        <w:tc>
          <w:tcPr>
            <w:tcW w:w="164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Date</w:t>
            </w:r>
          </w:p>
        </w:tc>
        <w:tc>
          <w:tcPr>
            <w:tcW w:w="1560" w:type="dxa"/>
            <w:vAlign w:val="bottom"/>
          </w:tcPr>
          <w:p>
            <w:pPr>
              <w:spacing w:after="0"/>
              <w:rPr>
                <w:sz w:val="14"/>
                <w:szCs w:val="14"/>
                <w:color w:val="auto"/>
              </w:rPr>
            </w:pPr>
          </w:p>
        </w:tc>
        <w:tc>
          <w:tcPr>
            <w:tcW w:w="4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Jennifer Phipps</w:t>
            </w:r>
          </w:p>
        </w:tc>
        <w:tc>
          <w:tcPr>
            <w:tcW w:w="840" w:type="dxa"/>
            <w:vAlign w:val="bottom"/>
          </w:tcPr>
          <w:p>
            <w:pPr>
              <w:spacing w:after="0"/>
              <w:rPr>
                <w:sz w:val="14"/>
                <w:szCs w:val="14"/>
                <w:color w:val="auto"/>
              </w:rPr>
            </w:pPr>
          </w:p>
        </w:tc>
      </w:tr>
      <w:tr>
        <w:trPr>
          <w:trHeight w:val="183"/>
        </w:trPr>
        <w:tc>
          <w:tcPr>
            <w:tcW w:w="5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5060" w:type="dxa"/>
            <w:vAlign w:val="bottom"/>
            <w:gridSpan w:val="2"/>
          </w:tcPr>
          <w:p>
            <w:pPr>
              <w:jc w:val="center"/>
              <w:ind w:right="840"/>
              <w:spacing w:after="0"/>
              <w:rPr>
                <w:sz w:val="20"/>
                <w:szCs w:val="20"/>
                <w:color w:val="auto"/>
              </w:rPr>
            </w:pPr>
            <w:r>
              <w:rPr>
                <w:rFonts w:ascii="Times New Roman" w:cs="Times New Roman" w:eastAsia="Times New Roman" w:hAnsi="Times New Roman"/>
                <w:sz w:val="14"/>
                <w:szCs w:val="14"/>
                <w:color w:val="auto"/>
              </w:rPr>
              <w:t>Executive Vice President and Chief Financial Officer</w:t>
            </w:r>
          </w:p>
        </w:tc>
      </w:tr>
      <w:tr>
        <w:trPr>
          <w:trHeight w:val="186"/>
        </w:trPr>
        <w:tc>
          <w:tcPr>
            <w:tcW w:w="5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5060" w:type="dxa"/>
            <w:vAlign w:val="bottom"/>
            <w:gridSpan w:val="2"/>
          </w:tcPr>
          <w:p>
            <w:pPr>
              <w:jc w:val="center"/>
              <w:ind w:right="840"/>
              <w:spacing w:after="0"/>
              <w:rPr>
                <w:sz w:val="20"/>
                <w:szCs w:val="20"/>
                <w:color w:val="auto"/>
              </w:rPr>
            </w:pPr>
            <w:r>
              <w:rPr>
                <w:rFonts w:ascii="Times New Roman" w:cs="Times New Roman" w:eastAsia="Times New Roman" w:hAnsi="Times New Roman"/>
                <w:sz w:val="14"/>
                <w:szCs w:val="14"/>
                <w:color w:val="auto"/>
              </w:rPr>
              <w:t>(Principal Financial Officer)</w:t>
            </w:r>
          </w:p>
        </w:tc>
      </w:tr>
      <w:tr>
        <w:trPr>
          <w:trHeight w:val="883"/>
        </w:trPr>
        <w:tc>
          <w:tcPr>
            <w:tcW w:w="52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42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5629910</wp:posOffset>
            </wp:positionH>
            <wp:positionV relativeFrom="paragraph">
              <wp:posOffset>-25400</wp:posOffset>
            </wp:positionV>
            <wp:extent cx="32385" cy="3873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4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58420</wp:posOffset>
            </wp:positionH>
            <wp:positionV relativeFrom="paragraph">
              <wp:posOffset>-25400</wp:posOffset>
            </wp:positionV>
            <wp:extent cx="32385" cy="3873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4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9019"/>
          </w:cols>
          <w:pgMar w:left="1440" w:top="638" w:right="1440" w:bottom="1440" w:gutter="0" w:footer="0" w:header="0"/>
        </w:sectPr>
      </w:pPr>
    </w:p>
    <w:bookmarkStart w:id="52" w:name="page53"/>
    <w:bookmarkEnd w:id="52"/>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129"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4"/>
          <w:szCs w:val="14"/>
          <w:b w:val="1"/>
          <w:bCs w:val="1"/>
          <w:color w:val="auto"/>
        </w:rPr>
        <w:t>BRIGHTSPRING HEALTH SERVICES, INC.</w:t>
      </w:r>
    </w:p>
    <w:p>
      <w:pPr>
        <w:spacing w:after="0" w:line="12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4"/>
          <w:szCs w:val="14"/>
          <w:color w:val="auto"/>
        </w:rPr>
        <w:t>CERTIFICATION OF CHIEF EXECUTIVE OFFICER PURSUANT TO 18 U.S.C. SECTION 1350 AS ADOPTED PURSUANT</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TO SECTION 906 OF THE SARBANES-OXLEY ACT OF 2002</w:t>
      </w:r>
    </w:p>
    <w:p>
      <w:pPr>
        <w:spacing w:after="0" w:line="115" w:lineRule="exact"/>
        <w:rPr>
          <w:sz w:val="20"/>
          <w:szCs w:val="20"/>
          <w:color w:val="auto"/>
        </w:rPr>
      </w:pPr>
    </w:p>
    <w:p>
      <w:pPr>
        <w:ind w:left="640" w:right="759"/>
        <w:spacing w:after="0" w:line="268" w:lineRule="auto"/>
        <w:rPr>
          <w:sz w:val="20"/>
          <w:szCs w:val="20"/>
          <w:color w:val="auto"/>
        </w:rPr>
      </w:pPr>
      <w:r>
        <w:rPr>
          <w:rFonts w:ascii="Times New Roman" w:cs="Times New Roman" w:eastAsia="Times New Roman" w:hAnsi="Times New Roman"/>
          <w:sz w:val="14"/>
          <w:szCs w:val="14"/>
          <w:color w:val="auto"/>
        </w:rPr>
        <w:t>In connection with the Quarterly Report of BrightSpring Health Services, Inc. (the Company) on Form 10-Q for the period ended September 30, 2026, as filed with the Securities and Exchange Commission on the date of the signatures below (the Report), Jon Rousseau, Chairman, President, and Chief Executive Officer of the Company, do hereby certify, pursuant to 18 U.S.C. Section 1350, as adopted pursuant to Section 906 of the Sarbanes-Oxley Act of 2002, that, to the best of their respective knowledge:</w:t>
      </w:r>
    </w:p>
    <w:p>
      <w:pPr>
        <w:spacing w:after="0" w:line="86" w:lineRule="exact"/>
        <w:rPr>
          <w:sz w:val="20"/>
          <w:szCs w:val="20"/>
          <w:color w:val="auto"/>
        </w:rPr>
      </w:pPr>
    </w:p>
    <w:p>
      <w:pPr>
        <w:ind w:left="1160" w:right="819" w:hanging="264"/>
        <w:spacing w:after="0" w:line="292" w:lineRule="auto"/>
        <w:tabs>
          <w:tab w:leader="none" w:pos="11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Section 15(d) of the Securities Exchange Act of 1934; and</w:t>
      </w:r>
    </w:p>
    <w:p>
      <w:pPr>
        <w:spacing w:after="0" w:line="59" w:lineRule="exact"/>
        <w:rPr>
          <w:rFonts w:ascii="Times New Roman" w:cs="Times New Roman" w:eastAsia="Times New Roman" w:hAnsi="Times New Roman"/>
          <w:sz w:val="14"/>
          <w:szCs w:val="14"/>
          <w:color w:val="auto"/>
        </w:rPr>
      </w:pPr>
    </w:p>
    <w:p>
      <w:pPr>
        <w:ind w:left="1160" w:right="1179" w:hanging="264"/>
        <w:spacing w:after="0" w:line="292" w:lineRule="auto"/>
        <w:tabs>
          <w:tab w:leader="none" w:pos="11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360" w:lineRule="exact"/>
        <w:rPr>
          <w:sz w:val="20"/>
          <w:szCs w:val="20"/>
          <w:color w:val="auto"/>
        </w:rPr>
      </w:pPr>
    </w:p>
    <w:tbl>
      <w:tblPr>
        <w:tblLayout w:type="fixed"/>
        <w:tblInd w:w="640" w:type="dxa"/>
        <w:tblCellMar>
          <w:top w:w="0" w:type="dxa"/>
          <w:left w:w="0" w:type="dxa"/>
          <w:bottom w:w="0" w:type="dxa"/>
          <w:right w:w="0" w:type="dxa"/>
        </w:tblCellMar>
      </w:tblPr>
      <w:tr>
        <w:trPr>
          <w:trHeight w:val="186"/>
        </w:trPr>
        <w:tc>
          <w:tcPr>
            <w:tcW w:w="16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October 30, 2026</w:t>
            </w:r>
          </w:p>
        </w:tc>
        <w:tc>
          <w:tcPr>
            <w:tcW w:w="1560" w:type="dxa"/>
            <w:vAlign w:val="bottom"/>
          </w:tcPr>
          <w:p>
            <w:pPr>
              <w:spacing w:after="0"/>
              <w:rPr>
                <w:sz w:val="16"/>
                <w:szCs w:val="16"/>
                <w:color w:val="auto"/>
              </w:rPr>
            </w:pPr>
          </w:p>
        </w:tc>
        <w:tc>
          <w:tcPr>
            <w:tcW w:w="4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Jon Rousseau</w:t>
            </w:r>
          </w:p>
        </w:tc>
      </w:tr>
      <w:tr>
        <w:trPr>
          <w:trHeight w:val="170"/>
        </w:trPr>
        <w:tc>
          <w:tcPr>
            <w:tcW w:w="16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Date</w:t>
            </w:r>
          </w:p>
        </w:tc>
        <w:tc>
          <w:tcPr>
            <w:tcW w:w="1560" w:type="dxa"/>
            <w:vAlign w:val="bottom"/>
          </w:tcPr>
          <w:p>
            <w:pPr>
              <w:spacing w:after="0"/>
              <w:rPr>
                <w:sz w:val="14"/>
                <w:szCs w:val="14"/>
                <w:color w:val="auto"/>
              </w:rPr>
            </w:pPr>
          </w:p>
        </w:tc>
        <w:tc>
          <w:tcPr>
            <w:tcW w:w="4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Jon Rousseau</w:t>
            </w:r>
          </w:p>
        </w:tc>
      </w:tr>
      <w:tr>
        <w:trPr>
          <w:trHeight w:val="183"/>
        </w:trPr>
        <w:tc>
          <w:tcPr>
            <w:tcW w:w="16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4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Chairman, President, and Chief Executive Officer</w:t>
            </w:r>
          </w:p>
        </w:tc>
      </w:tr>
      <w:tr>
        <w:trPr>
          <w:trHeight w:val="186"/>
        </w:trPr>
        <w:tc>
          <w:tcPr>
            <w:tcW w:w="16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4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(Principal Executive Officer)</w:t>
            </w:r>
          </w:p>
        </w:tc>
      </w:tr>
    </w:tbl>
    <w:p>
      <w:pPr>
        <w:spacing w:after="0" w:line="265" w:lineRule="exact"/>
        <w:rPr>
          <w:sz w:val="20"/>
          <w:szCs w:val="20"/>
          <w:color w:val="auto"/>
        </w:rPr>
      </w:pPr>
    </w:p>
    <w:p>
      <w:pPr>
        <w:jc w:val="both"/>
        <w:ind w:left="640" w:right="699"/>
        <w:spacing w:after="0" w:line="268" w:lineRule="auto"/>
        <w:rPr>
          <w:sz w:val="20"/>
          <w:szCs w:val="20"/>
          <w:color w:val="auto"/>
        </w:rPr>
      </w:pPr>
      <w:r>
        <w:rPr>
          <w:rFonts w:ascii="Times New Roman" w:cs="Times New Roman" w:eastAsia="Times New Roman" w:hAnsi="Times New Roman"/>
          <w:sz w:val="14"/>
          <w:szCs w:val="14"/>
          <w:color w:val="auto"/>
        </w:rPr>
        <w:t>This certification accompanies the Report to which it relates, is not deemed filed with the Securities and Exchange Commission and is not to be incorporated by reference into any filing of BrightSpring Health Services, Inc. under the Securities Act of 1933, as amended, or the Securities Exchange Act of 1934, as amended (whether made before or after the date of the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617220</wp:posOffset>
            </wp:positionV>
            <wp:extent cx="5603875" cy="3873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4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638" w:right="1440" w:bottom="1440" w:gutter="0" w:footer="0" w:header="0"/>
        </w:sectPr>
      </w:pPr>
    </w:p>
    <w:bookmarkStart w:id="53" w:name="page54"/>
    <w:bookmarkEnd w:id="53"/>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Exhibit 32.2</w:t>
      </w:r>
    </w:p>
    <w:p>
      <w:pPr>
        <w:spacing w:after="0" w:line="129"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4"/>
          <w:szCs w:val="14"/>
          <w:b w:val="1"/>
          <w:bCs w:val="1"/>
          <w:color w:val="auto"/>
        </w:rPr>
        <w:t>BRIGHTSPRING HEALTH SERVICES, INC.</w:t>
      </w:r>
    </w:p>
    <w:p>
      <w:pPr>
        <w:spacing w:after="0" w:line="1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CERTIFICATION OF CHIEF FINANCIAL OFFICER PURSUANT TO 18 U.S.C. SECTION 1350 AS ADOPTED PURSUANT TO</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SECTION 906 OF THE SARBANES-OXLEY ACT OF 2002</w:t>
      </w:r>
    </w:p>
    <w:p>
      <w:pPr>
        <w:spacing w:after="0" w:line="115" w:lineRule="exact"/>
        <w:rPr>
          <w:sz w:val="20"/>
          <w:szCs w:val="20"/>
          <w:color w:val="auto"/>
        </w:rPr>
      </w:pPr>
    </w:p>
    <w:p>
      <w:pPr>
        <w:ind w:left="640" w:right="719"/>
        <w:spacing w:after="0" w:line="268" w:lineRule="auto"/>
        <w:rPr>
          <w:sz w:val="20"/>
          <w:szCs w:val="20"/>
          <w:color w:val="auto"/>
        </w:rPr>
      </w:pPr>
      <w:r>
        <w:rPr>
          <w:rFonts w:ascii="Times New Roman" w:cs="Times New Roman" w:eastAsia="Times New Roman" w:hAnsi="Times New Roman"/>
          <w:sz w:val="14"/>
          <w:szCs w:val="14"/>
          <w:color w:val="auto"/>
        </w:rPr>
        <w:t>In connection with the Quarterly Report of BrightSpring Health Services, Inc. (the Company) on Form 10-Q for the period ended September 30, 2026, as filed with the Securities and Exchange Commission on the date of the signatures below (the Report), Jennifer Phipps, Executive Vice President and Chief Financial Officer of the Company, do hereby certify, pursuant to 18 U.S.C. Section 1350, as adopted pursuant to Section 906 of the Sarbanes-Oxley Act of 2002, that, to the best of their respective knowledge:</w:t>
      </w:r>
    </w:p>
    <w:p>
      <w:pPr>
        <w:spacing w:after="0" w:line="86" w:lineRule="exact"/>
        <w:rPr>
          <w:sz w:val="20"/>
          <w:szCs w:val="20"/>
          <w:color w:val="auto"/>
        </w:rPr>
      </w:pPr>
    </w:p>
    <w:p>
      <w:pPr>
        <w:ind w:left="1160" w:right="819" w:hanging="264"/>
        <w:spacing w:after="0" w:line="292" w:lineRule="auto"/>
        <w:tabs>
          <w:tab w:leader="none" w:pos="11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Section 15(d) of the Securities Exchange Act of 1934; and</w:t>
      </w:r>
    </w:p>
    <w:p>
      <w:pPr>
        <w:spacing w:after="0" w:line="59" w:lineRule="exact"/>
        <w:rPr>
          <w:rFonts w:ascii="Times New Roman" w:cs="Times New Roman" w:eastAsia="Times New Roman" w:hAnsi="Times New Roman"/>
          <w:sz w:val="14"/>
          <w:szCs w:val="14"/>
          <w:color w:val="auto"/>
        </w:rPr>
      </w:pPr>
    </w:p>
    <w:p>
      <w:pPr>
        <w:ind w:left="1160" w:right="1179" w:hanging="264"/>
        <w:spacing w:after="0" w:line="292" w:lineRule="auto"/>
        <w:tabs>
          <w:tab w:leader="none" w:pos="11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360" w:lineRule="exact"/>
        <w:rPr>
          <w:sz w:val="20"/>
          <w:szCs w:val="20"/>
          <w:color w:val="auto"/>
        </w:rPr>
      </w:pPr>
    </w:p>
    <w:tbl>
      <w:tblPr>
        <w:tblLayout w:type="fixed"/>
        <w:tblInd w:w="640" w:type="dxa"/>
        <w:tblCellMar>
          <w:top w:w="0" w:type="dxa"/>
          <w:left w:w="0" w:type="dxa"/>
          <w:bottom w:w="0" w:type="dxa"/>
          <w:right w:w="0" w:type="dxa"/>
        </w:tblCellMar>
      </w:tblPr>
      <w:tr>
        <w:trPr>
          <w:trHeight w:val="186"/>
        </w:trPr>
        <w:tc>
          <w:tcPr>
            <w:tcW w:w="16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October 30, 2026</w:t>
            </w:r>
          </w:p>
        </w:tc>
        <w:tc>
          <w:tcPr>
            <w:tcW w:w="1560" w:type="dxa"/>
            <w:vAlign w:val="bottom"/>
          </w:tcPr>
          <w:p>
            <w:pPr>
              <w:spacing w:after="0"/>
              <w:rPr>
                <w:sz w:val="16"/>
                <w:szCs w:val="16"/>
                <w:color w:val="auto"/>
              </w:rPr>
            </w:pPr>
          </w:p>
        </w:tc>
        <w:tc>
          <w:tcPr>
            <w:tcW w:w="4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Jennifer Phipps</w:t>
            </w:r>
          </w:p>
        </w:tc>
      </w:tr>
      <w:tr>
        <w:trPr>
          <w:trHeight w:val="170"/>
        </w:trPr>
        <w:tc>
          <w:tcPr>
            <w:tcW w:w="16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Date</w:t>
            </w:r>
          </w:p>
        </w:tc>
        <w:tc>
          <w:tcPr>
            <w:tcW w:w="1560" w:type="dxa"/>
            <w:vAlign w:val="bottom"/>
          </w:tcPr>
          <w:p>
            <w:pPr>
              <w:spacing w:after="0"/>
              <w:rPr>
                <w:sz w:val="14"/>
                <w:szCs w:val="14"/>
                <w:color w:val="auto"/>
              </w:rPr>
            </w:pPr>
          </w:p>
        </w:tc>
        <w:tc>
          <w:tcPr>
            <w:tcW w:w="4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Jennifer Phipps</w:t>
            </w:r>
          </w:p>
        </w:tc>
      </w:tr>
      <w:tr>
        <w:trPr>
          <w:trHeight w:val="183"/>
        </w:trPr>
        <w:tc>
          <w:tcPr>
            <w:tcW w:w="16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4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Executive Vice President and Chief Financial Officer</w:t>
            </w:r>
          </w:p>
        </w:tc>
      </w:tr>
      <w:tr>
        <w:trPr>
          <w:trHeight w:val="186"/>
        </w:trPr>
        <w:tc>
          <w:tcPr>
            <w:tcW w:w="16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4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(Principal Financial Officer)</w:t>
            </w:r>
          </w:p>
        </w:tc>
      </w:tr>
    </w:tbl>
    <w:p>
      <w:pPr>
        <w:spacing w:after="0" w:line="265" w:lineRule="exact"/>
        <w:rPr>
          <w:sz w:val="20"/>
          <w:szCs w:val="20"/>
          <w:color w:val="auto"/>
        </w:rPr>
      </w:pPr>
    </w:p>
    <w:p>
      <w:pPr>
        <w:jc w:val="both"/>
        <w:ind w:left="640" w:right="699"/>
        <w:spacing w:after="0" w:line="268" w:lineRule="auto"/>
        <w:rPr>
          <w:sz w:val="20"/>
          <w:szCs w:val="20"/>
          <w:color w:val="auto"/>
        </w:rPr>
      </w:pPr>
      <w:r>
        <w:rPr>
          <w:rFonts w:ascii="Times New Roman" w:cs="Times New Roman" w:eastAsia="Times New Roman" w:hAnsi="Times New Roman"/>
          <w:sz w:val="14"/>
          <w:szCs w:val="14"/>
          <w:color w:val="auto"/>
        </w:rPr>
        <w:t>This certification accompanies the Report to which it relates, is not deemed filed with the Securities and Exchange Commission and is not to be incorporated by reference into any filing of BrightSpring Health Services, Inc. under the Securities Act of 1933, as amended, or the Securities Exchange Act of 1934, as amended (whether made before or after the date of the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617220</wp:posOffset>
            </wp:positionV>
            <wp:extent cx="5603875" cy="3873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4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638" w:right="1440" w:bottom="1440" w:gutter="0" w:footer="0" w:header="0"/>
        </w:sectPr>
      </w:pPr>
    </w:p>
    <w:bookmarkStart w:id="54" w:name="page55"/>
    <w:bookmarkEnd w:id="5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
      <w:numFmt w:val="bullet"/>
      <w:start w:val="1"/>
    </w:lvl>
  </w:abstractNum>
  <w:abstractNum w:abstractNumId="4">
    <w:nsid w:val="3F2DBA31"/>
    <w:multiLevelType w:val="hybridMultilevel"/>
    <w:lvl w:ilvl="0">
      <w:lvlJc w:val="left"/>
      <w:lvlText w:val="(%1)"/>
      <w:numFmt w:val="decimal"/>
      <w:start w:val="1"/>
    </w:lvl>
  </w:abstractNum>
  <w:abstractNum w:abstractNumId="5">
    <w:nsid w:val="7C83E458"/>
    <w:multiLevelType w:val="hybridMultilevel"/>
    <w:lvl w:ilvl="0">
      <w:lvlJc w:val="left"/>
      <w:lvlText w:val="(%1)"/>
      <w:numFmt w:val="decimal"/>
      <w:start w:val="1"/>
    </w:lvl>
  </w:abstractNum>
  <w:abstractNum w:abstractNumId="6">
    <w:nsid w:val="257130A3"/>
    <w:multiLevelType w:val="hybridMultilevel"/>
    <w:lvl w:ilvl="0">
      <w:lvlJc w:val="left"/>
      <w:lvlText w:val="(%1)"/>
      <w:numFmt w:val="decimal"/>
      <w:start w:val="1"/>
    </w:lvl>
  </w:abstractNum>
  <w:abstractNum w:abstractNumId="7">
    <w:nsid w:val="62BBD95A"/>
    <w:multiLevelType w:val="hybridMultilevel"/>
    <w:lvl w:ilvl="0">
      <w:lvlJc w:val="left"/>
      <w:lvlText w:val="*"/>
      <w:numFmt w:val="bullet"/>
      <w:start w:val="1"/>
    </w:lvl>
  </w:abstractNum>
  <w:abstractNum w:abstractNumId="8">
    <w:nsid w:val="436C6125"/>
    <w:multiLevelType w:val="hybridMultilevel"/>
    <w:lvl w:ilvl="0">
      <w:lvlJc w:val="left"/>
      <w:lvlText w:val="(%1)"/>
      <w:numFmt w:val="decimal"/>
      <w:start w:val="1"/>
    </w:lvl>
  </w:abstractNum>
  <w:abstractNum w:abstractNumId="9">
    <w:nsid w:val="628C895D"/>
    <w:multiLevelType w:val="hybridMultilevel"/>
    <w:lvl w:ilvl="0">
      <w:lvlJc w:val="left"/>
      <w:lvlText w:val="(%1)"/>
      <w:numFmt w:val="decimal"/>
      <w:start w:val="1"/>
    </w:lvl>
  </w:abstractNum>
  <w:abstractNum w:abstractNumId="10">
    <w:nsid w:val="333AB105"/>
    <w:multiLevelType w:val="hybridMultilevel"/>
    <w:lvl w:ilvl="0">
      <w:lvlJc w:val="left"/>
      <w:lvlText w:val="•"/>
      <w:numFmt w:val="bullet"/>
      <w:start w:val="1"/>
    </w:lvl>
  </w:abstractNum>
  <w:abstractNum w:abstractNumId="11">
    <w:nsid w:val="721DA317"/>
    <w:multiLevelType w:val="hybridMultilevel"/>
    <w:lvl w:ilvl="0">
      <w:lvlJc w:val="left"/>
      <w:lvlText w:val="(%1)"/>
      <w:numFmt w:val="decimal"/>
    </w:lvl>
    <w:lvl w:ilvl="1">
      <w:lvlJc w:val="left"/>
      <w:lvlText w:val="•"/>
      <w:numFmt w:val="bullet"/>
      <w:start w:val="1"/>
    </w:lvl>
  </w:abstractNum>
  <w:abstractNum w:abstractNumId="12">
    <w:nsid w:val="2443A858"/>
    <w:multiLevelType w:val="hybridMultilevel"/>
    <w:lvl w:ilvl="0">
      <w:lvlJc w:val="left"/>
      <w:lvlText w:val="•"/>
      <w:numFmt w:val="bullet"/>
      <w:start w:val="1"/>
    </w:lvl>
  </w:abstractNum>
  <w:abstractNum w:abstractNumId="13">
    <w:nsid w:val="2D1D5AE9"/>
    <w:multiLevelType w:val="hybridMultilevel"/>
    <w:lvl w:ilvl="0">
      <w:lvlJc w:val="left"/>
      <w:lvlText w:val="•"/>
      <w:numFmt w:val="bullet"/>
      <w:start w:val="1"/>
    </w:lvl>
  </w:abstractNum>
  <w:abstractNum w:abstractNumId="14">
    <w:nsid w:val="6763845E"/>
    <w:multiLevelType w:val="hybridMultilevel"/>
    <w:lvl w:ilvl="0">
      <w:lvlJc w:val="left"/>
      <w:lvlText w:val="(%1)"/>
      <w:numFmt w:val="decimal"/>
    </w:lvl>
    <w:lvl w:ilvl="1">
      <w:lvlJc w:val="left"/>
      <w:lvlText w:val="•"/>
      <w:numFmt w:val="bullet"/>
      <w:start w:val="1"/>
    </w:lvl>
  </w:abstractNum>
  <w:abstractNum w:abstractNumId="15">
    <w:nsid w:val="75A2A8D4"/>
    <w:multiLevelType w:val="hybridMultilevel"/>
    <w:lvl w:ilvl="0">
      <w:lvlJc w:val="left"/>
      <w:lvlText w:val="•"/>
      <w:numFmt w:val="bullet"/>
      <w:start w:val="1"/>
    </w:lvl>
  </w:abstractNum>
  <w:abstractNum w:abstractNumId="16">
    <w:nsid w:val="8EDBDAB"/>
    <w:multiLevelType w:val="hybridMultilevel"/>
    <w:lvl w:ilvl="0">
      <w:lvlJc w:val="left"/>
      <w:lvlText w:val="•"/>
      <w:numFmt w:val="bullet"/>
      <w:start w:val="1"/>
    </w:lvl>
  </w:abstractNum>
  <w:abstractNum w:abstractNumId="17">
    <w:nsid w:val="79838CB2"/>
    <w:multiLevelType w:val="hybridMultilevel"/>
    <w:lvl w:ilvl="0">
      <w:lvlJc w:val="left"/>
      <w:lvlText w:val="(%1)"/>
      <w:numFmt w:val="decimal"/>
    </w:lvl>
    <w:lvl w:ilvl="1">
      <w:lvlJc w:val="left"/>
      <w:lvlText w:val="•"/>
      <w:numFmt w:val="bullet"/>
      <w:start w:val="1"/>
    </w:lvl>
  </w:abstractNum>
  <w:abstractNum w:abstractNumId="18">
    <w:nsid w:val="4353D0CD"/>
    <w:multiLevelType w:val="hybridMultilevel"/>
    <w:lvl w:ilvl="0">
      <w:lvlJc w:val="left"/>
      <w:lvlText w:val="*"/>
      <w:numFmt w:val="bullet"/>
      <w:start w:val="1"/>
    </w:lvl>
  </w:abstractNum>
  <w:abstractNum w:abstractNumId="19">
    <w:nsid w:val="B03E0C6"/>
    <w:multiLevelType w:val="hybridMultilevel"/>
    <w:lvl w:ilvl="0">
      <w:lvlJc w:val="left"/>
      <w:lvlText w:val="•"/>
      <w:numFmt w:val="bullet"/>
      <w:start w:val="1"/>
    </w:lvl>
  </w:abstractNum>
  <w:abstractNum w:abstractNumId="20">
    <w:nsid w:val="189A769B"/>
    <w:multiLevelType w:val="hybridMultilevel"/>
    <w:lvl w:ilvl="0">
      <w:lvlJc w:val="left"/>
      <w:lvlText w:val="*"/>
      <w:numFmt w:val="bullet"/>
      <w:start w:val="1"/>
    </w:lvl>
  </w:abstractNum>
  <w:abstractNum w:abstractNumId="21">
    <w:nsid w:val="54E49EB4"/>
    <w:multiLevelType w:val="hybridMultilevel"/>
    <w:lvl w:ilvl="0">
      <w:lvlJc w:val="left"/>
      <w:lvlText w:val="•"/>
      <w:numFmt w:val="bullet"/>
      <w:start w:val="1"/>
    </w:lvl>
  </w:abstractNum>
  <w:abstractNum w:abstractNumId="22">
    <w:nsid w:val="71F32454"/>
    <w:multiLevelType w:val="hybridMultilevel"/>
    <w:lvl w:ilvl="0">
      <w:lvlJc w:val="left"/>
      <w:lvlText w:val="(%1)"/>
      <w:numFmt w:val="decimal"/>
      <w:start w:val="1"/>
    </w:lvl>
  </w:abstractNum>
  <w:abstractNum w:abstractNumId="23">
    <w:nsid w:val="2CA88611"/>
    <w:multiLevelType w:val="hybridMultilevel"/>
    <w:lvl w:ilvl="0">
      <w:lvlJc w:val="left"/>
      <w:lvlText w:val="(%1)"/>
      <w:numFmt w:val="decimal"/>
      <w:start w:val="1"/>
    </w:lvl>
  </w:abstractNum>
  <w:abstractNum w:abstractNumId="24">
    <w:nsid w:val="836C40E"/>
    <w:multiLevelType w:val="hybridMultilevel"/>
    <w:lvl w:ilvl="0">
      <w:lvlJc w:val="left"/>
      <w:lvlText w:val="•"/>
      <w:numFmt w:val="bullet"/>
      <w:start w:val="1"/>
    </w:lvl>
  </w:abstractNum>
  <w:abstractNum w:abstractNumId="25">
    <w:nsid w:val="2901D82"/>
    <w:multiLevelType w:val="hybridMultilevel"/>
    <w:lvl w:ilvl="0">
      <w:lvlJc w:val="left"/>
      <w:lvlText w:val="•"/>
      <w:numFmt w:val="bullet"/>
      <w:start w:val="1"/>
    </w:lvl>
  </w:abstractNum>
  <w:abstractNum w:abstractNumId="26">
    <w:nsid w:val="3A95F874"/>
    <w:multiLevelType w:val="hybridMultilevel"/>
    <w:lvl w:ilvl="0">
      <w:lvlJc w:val="left"/>
      <w:lvlText w:val="%1"/>
      <w:numFmt w:val="decimal"/>
      <w:start w:val="104"/>
    </w:lvl>
  </w:abstractNum>
  <w:abstractNum w:abstractNumId="27">
    <w:nsid w:val="8138641"/>
    <w:multiLevelType w:val="hybridMultilevel"/>
    <w:lvl w:ilvl="0">
      <w:lvlJc w:val="left"/>
      <w:lvlText w:val="*"/>
      <w:numFmt w:val="bullet"/>
      <w:start w:val="1"/>
    </w:lvl>
  </w:abstractNum>
  <w:abstractNum w:abstractNumId="28">
    <w:nsid w:val="1E7FF521"/>
    <w:multiLevelType w:val="hybridMultilevel"/>
    <w:lvl w:ilvl="0">
      <w:lvlJc w:val="left"/>
      <w:lvlText w:val="%1."/>
      <w:numFmt w:val="decimal"/>
      <w:start w:val="1"/>
    </w:lvl>
    <w:lvl w:ilvl="1">
      <w:lvlJc w:val="left"/>
      <w:lvlText w:val="%2."/>
      <w:numFmt w:val="lowerLetter"/>
      <w:start w:val="1"/>
    </w:lvl>
  </w:abstractNum>
  <w:abstractNum w:abstractNumId="29">
    <w:nsid w:val="7C3DBD3D"/>
    <w:multiLevelType w:val="hybridMultilevel"/>
    <w:lvl w:ilvl="0">
      <w:lvlJc w:val="left"/>
      <w:lvlText w:val="%1."/>
      <w:numFmt w:val="decimal"/>
      <w:start w:val="1"/>
    </w:lvl>
    <w:lvl w:ilvl="1">
      <w:lvlJc w:val="left"/>
      <w:lvlText w:val="%2."/>
      <w:numFmt w:val="lowerLetter"/>
      <w:start w:val="1"/>
    </w:lvl>
  </w:abstractNum>
  <w:abstractNum w:abstractNumId="30">
    <w:nsid w:val="737B8DDC"/>
    <w:multiLevelType w:val="hybridMultilevel"/>
    <w:lvl w:ilvl="0">
      <w:lvlJc w:val="left"/>
      <w:lvlText w:val="%1."/>
      <w:numFmt w:val="decimal"/>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8" Type="http://schemas.openxmlformats.org/officeDocument/2006/relationships/image" Target="media/image423.png"/><Relationship Id="rId439" Type="http://schemas.openxmlformats.org/officeDocument/2006/relationships/image" Target="media/image424.png"/><Relationship Id="rId440" Type="http://schemas.openxmlformats.org/officeDocument/2006/relationships/image" Target="media/image425.png"/><Relationship Id="rId441" Type="http://schemas.openxmlformats.org/officeDocument/2006/relationships/image" Target="media/image426.png"/><Relationship Id="rId442" Type="http://schemas.openxmlformats.org/officeDocument/2006/relationships/image" Target="media/image427.png"/><Relationship Id="rId443" Type="http://schemas.openxmlformats.org/officeDocument/2006/relationships/image" Target="media/image428.png"/><Relationship Id="rId444" Type="http://schemas.openxmlformats.org/officeDocument/2006/relationships/image" Target="media/image429.png"/><Relationship Id="rId445" Type="http://schemas.openxmlformats.org/officeDocument/2006/relationships/image" Target="media/image430.png"/><Relationship Id="rId446" Type="http://schemas.openxmlformats.org/officeDocument/2006/relationships/image" Target="media/image431.png"/><Relationship Id="rId430" Type="http://schemas.openxmlformats.org/officeDocument/2006/relationships/hyperlink" Target="https://www.sec.gov/Archives/edgar/data/1865782/000095017025006965/btsg-ex2_1.htm" TargetMode="External"/><Relationship Id="rId431" Type="http://schemas.openxmlformats.org/officeDocument/2006/relationships/hyperlink" Target="https://www.sec.gov/Archives/edgar/data/1865782/000119312526079454/btsg-ex2_2.htm" TargetMode="External"/><Relationship Id="rId432" Type="http://schemas.openxmlformats.org/officeDocument/2006/relationships/hyperlink" Target="https://www.sec.gov/Archives/edgar/data/1865782/000119312524019479/d925158dex31.htm" TargetMode="External"/><Relationship Id="rId433" Type="http://schemas.openxmlformats.org/officeDocument/2006/relationships/hyperlink" Target="https://www.sec.gov/Archives/edgar/data/1865782/000119312524019479/d925158dex32.htm" TargetMode="External"/><Relationship Id="rId434" Type="http://schemas.openxmlformats.org/officeDocument/2006/relationships/hyperlink" Target="https://www.sec.gov/Archives/edgar/data/1865782/000119312524019479/d925158dex41.htm" TargetMode="External"/><Relationship Id="rId435" Type="http://schemas.openxmlformats.org/officeDocument/2006/relationships/hyperlink" Target="https://www.sec.gov/Archives/edgar/data/1865782/000119312524019479/d925158dex44.htm" TargetMode="External"/><Relationship Id="rId436" Type="http://schemas.openxmlformats.org/officeDocument/2006/relationships/hyperlink" Target="https://www.sec.gov/Archives/edgar/data/1865782/000119312524019479/d925158dex45.htm" TargetMode="External"/><Relationship Id="rId437" Type="http://schemas.openxmlformats.org/officeDocument/2006/relationships/hyperlink" Target="https://www.sec.gov/Archives/edgar/data/1865782/000119312524005605/d251968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2026-10-30T07:49:07Z</dcterms:created>
  <dcterms:modified xsi:type="dcterms:W3CDTF">2026-10-30T07:49:07Z</dcterms:modified>
</cp:coreProperties>
</file>