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ROUSSEAU JON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65" w:lineRule="auto"/>
        <w:rPr>
          <w:sz w:val="20"/>
          <w:szCs w:val="20"/>
          <w:color w:val="auto"/>
        </w:rPr>
      </w:pPr>
      <w:r>
        <w:rPr>
          <w:rFonts w:ascii="Times New Roman" w:cs="Times New Roman" w:eastAsia="Times New Roman" w:hAnsi="Times New Roman"/>
          <w:sz w:val="17"/>
          <w:szCs w:val="17"/>
          <w:color w:val="0000FF"/>
        </w:rPr>
        <w:t>C/O BRIGHTSPRING HEALTH SERVICES, INC. 805 N. WHITTINGTON PARKWAY</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BrightSpring Health Services,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BTSG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940" w:type="dxa"/>
            <w:vAlign w:val="bottom"/>
            <w:tcBorders>
              <w:top w:val="single" w:sz="8" w:color="0000EE"/>
            </w:tcBorders>
            <w:gridSpan w:val="2"/>
          </w:tcPr>
          <w:p>
            <w:pPr>
              <w:spacing w:after="0"/>
              <w:rPr>
                <w:sz w:val="20"/>
                <w:szCs w:val="20"/>
                <w:color w:val="auto"/>
              </w:rPr>
            </w:pPr>
            <w:r>
              <w:rPr>
                <w:rFonts w:ascii="Arial" w:cs="Arial" w:eastAsia="Arial" w:hAnsi="Arial"/>
                <w:sz w:val="13"/>
                <w:szCs w:val="13"/>
                <w:color w:val="auto"/>
              </w:rPr>
              <w:t>Foreign Trading Symbol</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10/25/2026</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02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10/25/2026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36,355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60.11</w:t>
            </w:r>
          </w:p>
        </w:tc>
        <w:tc>
          <w:tcPr>
            <w:tcW w:w="116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1,101,829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369,763</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Rousseau</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by the Issuer to satisfy withholding taxes due in connection with the vesting of 125,012 restricted stock units at a net settlement price equal to the closing stock price on October 23, 2026.</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Chairman, President and Chief Executive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Phipps,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775" TargetMode="External"/><Relationship Id="rId14"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2026-10-27T16:51:05Z</dcterms:created>
  <dcterms:modified xsi:type="dcterms:W3CDTF">2026-10-27T16:51:05Z</dcterms:modified>
</cp:coreProperties>
</file>